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A5669" w14:textId="77777777" w:rsidR="00CB5C86" w:rsidRDefault="00CB5C86">
      <w:pPr>
        <w:rPr>
          <w:b/>
          <w:noProof/>
          <w:sz w:val="32"/>
          <w:szCs w:val="32"/>
        </w:rPr>
      </w:pPr>
      <w:r w:rsidRPr="000D4409">
        <w:rPr>
          <w:b/>
          <w:noProof/>
          <w:sz w:val="32"/>
          <w:szCs w:val="32"/>
        </w:rPr>
        <w:t>First Look</w:t>
      </w:r>
      <w:r w:rsidR="003B3A33">
        <w:rPr>
          <w:b/>
          <w:noProof/>
          <w:sz w:val="32"/>
          <w:szCs w:val="32"/>
        </w:rPr>
        <w:t xml:space="preserve"> </w:t>
      </w:r>
      <w:r w:rsidRPr="000D4409">
        <w:rPr>
          <w:b/>
          <w:noProof/>
          <w:sz w:val="32"/>
          <w:szCs w:val="32"/>
        </w:rPr>
        <w:t xml:space="preserve">- </w:t>
      </w:r>
      <w:r w:rsidR="00C757D5">
        <w:rPr>
          <w:b/>
          <w:noProof/>
          <w:sz w:val="32"/>
          <w:szCs w:val="32"/>
        </w:rPr>
        <w:t>2010 IWSCA Health Survey</w:t>
      </w:r>
      <w:r w:rsidR="003B3A33">
        <w:rPr>
          <w:b/>
          <w:noProof/>
          <w:sz w:val="32"/>
          <w:szCs w:val="32"/>
        </w:rPr>
        <w:t xml:space="preserve"> - </w:t>
      </w:r>
      <w:r w:rsidRPr="000D4409">
        <w:rPr>
          <w:b/>
          <w:noProof/>
          <w:sz w:val="32"/>
          <w:szCs w:val="32"/>
        </w:rPr>
        <w:t>Age and Cause of Death</w:t>
      </w:r>
    </w:p>
    <w:p w14:paraId="5C11EBF6" w14:textId="77777777" w:rsidR="000D4409" w:rsidRPr="00EF0F41" w:rsidRDefault="000D4409">
      <w:pPr>
        <w:rPr>
          <w:b/>
          <w:noProof/>
          <w:sz w:val="28"/>
          <w:szCs w:val="28"/>
        </w:rPr>
      </w:pPr>
      <w:r w:rsidRPr="00EF0F41">
        <w:rPr>
          <w:b/>
          <w:noProof/>
          <w:sz w:val="28"/>
          <w:szCs w:val="28"/>
        </w:rPr>
        <w:t>Demographics</w:t>
      </w:r>
    </w:p>
    <w:p w14:paraId="369612D6" w14:textId="77777777" w:rsidR="000D4409" w:rsidRPr="00D403C4" w:rsidRDefault="00D403C4">
      <w:pPr>
        <w:rPr>
          <w:noProof/>
          <w:color w:val="FF0000"/>
        </w:rPr>
      </w:pPr>
      <w:r w:rsidRPr="00FE16A2">
        <w:rPr>
          <w:noProof/>
        </w:rPr>
        <w:t xml:space="preserve">The age and cause of death </w:t>
      </w:r>
      <w:r w:rsidR="00A41C0D" w:rsidRPr="00FE16A2">
        <w:rPr>
          <w:noProof/>
        </w:rPr>
        <w:t xml:space="preserve">of 405 IWS </w:t>
      </w:r>
      <w:r w:rsidRPr="00FE16A2">
        <w:rPr>
          <w:noProof/>
        </w:rPr>
        <w:t>w</w:t>
      </w:r>
      <w:r w:rsidR="00A41C0D" w:rsidRPr="00FE16A2">
        <w:rPr>
          <w:noProof/>
        </w:rPr>
        <w:t xml:space="preserve">as </w:t>
      </w:r>
      <w:r w:rsidRPr="00FE16A2">
        <w:rPr>
          <w:noProof/>
        </w:rPr>
        <w:t xml:space="preserve">recorded in the </w:t>
      </w:r>
      <w:r w:rsidR="00A41C0D" w:rsidRPr="00FE16A2">
        <w:rPr>
          <w:noProof/>
        </w:rPr>
        <w:t>I</w:t>
      </w:r>
      <w:r w:rsidR="00AB2678" w:rsidRPr="00FE16A2">
        <w:rPr>
          <w:noProof/>
        </w:rPr>
        <w:t xml:space="preserve">WSCA 2010 </w:t>
      </w:r>
      <w:r w:rsidR="000D4409" w:rsidRPr="00FE16A2">
        <w:rPr>
          <w:noProof/>
        </w:rPr>
        <w:t>Health Survey</w:t>
      </w:r>
      <w:r w:rsidRPr="00FE16A2">
        <w:rPr>
          <w:noProof/>
        </w:rPr>
        <w:t>.</w:t>
      </w:r>
      <w:r w:rsidR="000D4409" w:rsidRPr="00FE16A2">
        <w:rPr>
          <w:noProof/>
        </w:rPr>
        <w:t xml:space="preserve"> </w:t>
      </w:r>
      <w:r w:rsidRPr="00FE16A2">
        <w:rPr>
          <w:noProof/>
        </w:rPr>
        <w:t xml:space="preserve"> The breakdown </w:t>
      </w:r>
      <w:r w:rsidR="00A41C0D" w:rsidRPr="00FE16A2">
        <w:rPr>
          <w:noProof/>
        </w:rPr>
        <w:t xml:space="preserve">of </w:t>
      </w:r>
      <w:r w:rsidR="00AB2678" w:rsidRPr="00FE16A2">
        <w:rPr>
          <w:noProof/>
        </w:rPr>
        <w:t>the location of these 405 IWS are</w:t>
      </w:r>
      <w:r w:rsidR="00A41C0D" w:rsidRPr="00FE16A2">
        <w:rPr>
          <w:noProof/>
        </w:rPr>
        <w:t xml:space="preserve"> as follows</w:t>
      </w:r>
      <w:r w:rsidRPr="00FE16A2">
        <w:rPr>
          <w:noProof/>
        </w:rPr>
        <w:t>:</w:t>
      </w:r>
      <w:r>
        <w:rPr>
          <w:noProof/>
          <w:color w:val="FF0000"/>
        </w:rPr>
        <w:t xml:space="preserve"> </w:t>
      </w:r>
      <w:r w:rsidR="000D4409">
        <w:rPr>
          <w:noProof/>
        </w:rPr>
        <w:t xml:space="preserve">North American (N.Am.) </w:t>
      </w:r>
      <w:r w:rsidR="009E5286">
        <w:rPr>
          <w:noProof/>
        </w:rPr>
        <w:t>229</w:t>
      </w:r>
      <w:r w:rsidR="000D4409">
        <w:rPr>
          <w:noProof/>
        </w:rPr>
        <w:t xml:space="preserve">; United Kingdom (UK) </w:t>
      </w:r>
      <w:r w:rsidR="000715F1">
        <w:rPr>
          <w:noProof/>
        </w:rPr>
        <w:t>125</w:t>
      </w:r>
      <w:r w:rsidR="000D4409">
        <w:rPr>
          <w:noProof/>
        </w:rPr>
        <w:t xml:space="preserve">;  </w:t>
      </w:r>
      <w:r w:rsidR="00550BCB">
        <w:rPr>
          <w:noProof/>
        </w:rPr>
        <w:t>38</w:t>
      </w:r>
      <w:r w:rsidR="000D4409">
        <w:rPr>
          <w:noProof/>
        </w:rPr>
        <w:t xml:space="preserve"> Europe (Eu)</w:t>
      </w:r>
      <w:r w:rsidR="009E5286">
        <w:rPr>
          <w:noProof/>
        </w:rPr>
        <w:t>;</w:t>
      </w:r>
      <w:r w:rsidR="000D4409">
        <w:rPr>
          <w:noProof/>
        </w:rPr>
        <w:t xml:space="preserve"> </w:t>
      </w:r>
      <w:r w:rsidR="009E5286">
        <w:rPr>
          <w:noProof/>
        </w:rPr>
        <w:t>and 13</w:t>
      </w:r>
      <w:r w:rsidR="00550BCB">
        <w:rPr>
          <w:noProof/>
        </w:rPr>
        <w:t xml:space="preserve"> from other areas.</w:t>
      </w:r>
      <w:r w:rsidR="000D4409">
        <w:rPr>
          <w:noProof/>
        </w:rPr>
        <w:t xml:space="preserve"> </w:t>
      </w:r>
      <w:r w:rsidR="00550BCB">
        <w:rPr>
          <w:noProof/>
        </w:rPr>
        <w:t>This report will only cover N.Am.  and UK  IWS, since t</w:t>
      </w:r>
      <w:r w:rsidR="000D4409">
        <w:rPr>
          <w:noProof/>
        </w:rPr>
        <w:t xml:space="preserve">he number of death reports from Europe </w:t>
      </w:r>
      <w:r w:rsidR="00550BCB">
        <w:rPr>
          <w:noProof/>
        </w:rPr>
        <w:t xml:space="preserve">and other areas </w:t>
      </w:r>
      <w:r w:rsidR="000D4409">
        <w:rPr>
          <w:noProof/>
        </w:rPr>
        <w:t>is too small to analyze</w:t>
      </w:r>
      <w:r w:rsidR="00550BCB">
        <w:rPr>
          <w:noProof/>
        </w:rPr>
        <w:t>.</w:t>
      </w:r>
    </w:p>
    <w:p w14:paraId="365D66BF" w14:textId="77777777" w:rsidR="003B3A33" w:rsidRDefault="006F2BDA" w:rsidP="00EF0F41">
      <w:pPr>
        <w:rPr>
          <w:noProof/>
        </w:rPr>
      </w:pPr>
      <w:r w:rsidRPr="000203AC">
        <w:rPr>
          <w:b/>
          <w:noProof/>
          <w:sz w:val="28"/>
          <w:szCs w:val="28"/>
        </w:rPr>
        <w:t>Causes of Death in IWS</w:t>
      </w:r>
    </w:p>
    <w:p w14:paraId="383B8068" w14:textId="77777777" w:rsidR="009B2ADA" w:rsidRDefault="00EF0F41" w:rsidP="00EF0F41">
      <w:pPr>
        <w:rPr>
          <w:noProof/>
        </w:rPr>
      </w:pPr>
      <w:r w:rsidRPr="00A41C0D">
        <w:rPr>
          <w:noProof/>
        </w:rPr>
        <w:t>Figure 1</w:t>
      </w:r>
      <w:r w:rsidR="00A41C0D">
        <w:rPr>
          <w:noProof/>
          <w:u w:val="single"/>
        </w:rPr>
        <w:t xml:space="preserve"> </w:t>
      </w:r>
      <w:r>
        <w:rPr>
          <w:noProof/>
        </w:rPr>
        <w:t xml:space="preserve"> </w:t>
      </w:r>
      <w:r w:rsidR="00D403C4">
        <w:rPr>
          <w:noProof/>
        </w:rPr>
        <w:t>depicts</w:t>
      </w:r>
      <w:r>
        <w:rPr>
          <w:noProof/>
        </w:rPr>
        <w:t xml:space="preserve"> the percent  deaths from various causes for N.A</w:t>
      </w:r>
      <w:r w:rsidR="00DD2D7F">
        <w:rPr>
          <w:noProof/>
        </w:rPr>
        <w:t>m</w:t>
      </w:r>
      <w:r>
        <w:rPr>
          <w:noProof/>
        </w:rPr>
        <w:t xml:space="preserve">. IWS.  </w:t>
      </w:r>
      <w:r w:rsidR="009B2ADA">
        <w:rPr>
          <w:noProof/>
        </w:rPr>
        <w:t xml:space="preserve">The category “Accident/Trauma” includes accidental deaths and preventable deaths, such as bleeding after spay surgery, and poisoning.  </w:t>
      </w:r>
    </w:p>
    <w:p w14:paraId="5DB9F982" w14:textId="77777777" w:rsidR="00EF0F41" w:rsidRPr="00D403C4" w:rsidRDefault="00EF0F41" w:rsidP="00EF0F41">
      <w:pPr>
        <w:rPr>
          <w:noProof/>
          <w:color w:val="FF0000"/>
        </w:rPr>
      </w:pPr>
      <w:r>
        <w:rPr>
          <w:noProof/>
        </w:rPr>
        <w:t xml:space="preserve"> “Old Age” is essentially a category of “Unknown”, but is reported here separately because the respondents reported it so.  The </w:t>
      </w:r>
      <w:r w:rsidR="00D64EBD">
        <w:rPr>
          <w:noProof/>
        </w:rPr>
        <w:t>“</w:t>
      </w:r>
      <w:r>
        <w:rPr>
          <w:noProof/>
        </w:rPr>
        <w:t>Temperament</w:t>
      </w:r>
      <w:r w:rsidR="00D64EBD">
        <w:rPr>
          <w:noProof/>
        </w:rPr>
        <w:t>”</w:t>
      </w:r>
      <w:r>
        <w:rPr>
          <w:noProof/>
        </w:rPr>
        <w:t xml:space="preserve"> category indicated that the dog was euthanized for temperament issues</w:t>
      </w:r>
      <w:r w:rsidRPr="00FE16A2">
        <w:rPr>
          <w:noProof/>
        </w:rPr>
        <w:t>.</w:t>
      </w:r>
      <w:r w:rsidR="00DB25B6" w:rsidRPr="00FE16A2">
        <w:rPr>
          <w:noProof/>
        </w:rPr>
        <w:t xml:space="preserve">  In North America</w:t>
      </w:r>
      <w:r w:rsidR="00D403C4" w:rsidRPr="00FE16A2">
        <w:rPr>
          <w:noProof/>
        </w:rPr>
        <w:t>,</w:t>
      </w:r>
      <w:r w:rsidR="00DB25B6" w:rsidRPr="00FE16A2">
        <w:rPr>
          <w:noProof/>
        </w:rPr>
        <w:t xml:space="preserve"> the “Neurology” category included dogs whose</w:t>
      </w:r>
      <w:r w:rsidR="00D403C4" w:rsidRPr="00FE16A2">
        <w:rPr>
          <w:noProof/>
        </w:rPr>
        <w:t xml:space="preserve"> cause of</w:t>
      </w:r>
      <w:r w:rsidR="00DB25B6" w:rsidRPr="00FE16A2">
        <w:rPr>
          <w:noProof/>
        </w:rPr>
        <w:t xml:space="preserve"> death was listed as </w:t>
      </w:r>
      <w:r w:rsidR="00EC3FF7">
        <w:rPr>
          <w:noProof/>
        </w:rPr>
        <w:t xml:space="preserve">either </w:t>
      </w:r>
      <w:r w:rsidR="00DB25B6" w:rsidRPr="00FE16A2">
        <w:rPr>
          <w:noProof/>
        </w:rPr>
        <w:t xml:space="preserve">epilepsy </w:t>
      </w:r>
      <w:r w:rsidR="00D403C4" w:rsidRPr="00FE16A2">
        <w:rPr>
          <w:noProof/>
        </w:rPr>
        <w:t>or</w:t>
      </w:r>
      <w:r w:rsidR="00DB25B6" w:rsidRPr="00FE16A2">
        <w:rPr>
          <w:noProof/>
        </w:rPr>
        <w:t xml:space="preserve"> megesophagus.</w:t>
      </w:r>
    </w:p>
    <w:p w14:paraId="42A5E75D" w14:textId="77777777" w:rsidR="008D6181" w:rsidRDefault="00D64EBD" w:rsidP="00EF0F41">
      <w:pPr>
        <w:rPr>
          <w:noProof/>
        </w:rPr>
      </w:pPr>
      <w:r w:rsidRPr="00FE16A2">
        <w:rPr>
          <w:noProof/>
        </w:rPr>
        <w:t xml:space="preserve">The major cause </w:t>
      </w:r>
      <w:r w:rsidR="00D0021F" w:rsidRPr="00FE16A2">
        <w:rPr>
          <w:noProof/>
        </w:rPr>
        <w:t xml:space="preserve">of death </w:t>
      </w:r>
      <w:r w:rsidRPr="00FE16A2">
        <w:rPr>
          <w:noProof/>
        </w:rPr>
        <w:t xml:space="preserve">reported for N. Am. IWS </w:t>
      </w:r>
      <w:r w:rsidR="00D0021F" w:rsidRPr="00FE16A2">
        <w:rPr>
          <w:noProof/>
        </w:rPr>
        <w:t xml:space="preserve"> at 47% </w:t>
      </w:r>
      <w:r w:rsidRPr="00FE16A2">
        <w:rPr>
          <w:noProof/>
        </w:rPr>
        <w:t xml:space="preserve">was cancer.  </w:t>
      </w:r>
      <w:r w:rsidR="007915A9" w:rsidRPr="00FE16A2">
        <w:rPr>
          <w:noProof/>
        </w:rPr>
        <w:t xml:space="preserve">In 2008, </w:t>
      </w:r>
      <w:r w:rsidR="00D0021F" w:rsidRPr="00FE16A2">
        <w:rPr>
          <w:noProof/>
        </w:rPr>
        <w:t xml:space="preserve">the </w:t>
      </w:r>
      <w:r w:rsidR="00EF0F41" w:rsidRPr="00FE16A2">
        <w:rPr>
          <w:noProof/>
        </w:rPr>
        <w:t xml:space="preserve">IWSCA </w:t>
      </w:r>
      <w:r w:rsidR="009E5286" w:rsidRPr="00FE16A2">
        <w:rPr>
          <w:noProof/>
        </w:rPr>
        <w:t xml:space="preserve">Health and Genetic committee </w:t>
      </w:r>
      <w:r w:rsidR="00D0021F" w:rsidRPr="00FE16A2">
        <w:rPr>
          <w:noProof/>
        </w:rPr>
        <w:t xml:space="preserve">preformed </w:t>
      </w:r>
      <w:r w:rsidR="007915A9" w:rsidRPr="00FE16A2">
        <w:rPr>
          <w:noProof/>
        </w:rPr>
        <w:t xml:space="preserve">a smaller </w:t>
      </w:r>
      <w:r w:rsidR="00D0021F" w:rsidRPr="00FE16A2">
        <w:rPr>
          <w:noProof/>
        </w:rPr>
        <w:t xml:space="preserve">cause of </w:t>
      </w:r>
      <w:r w:rsidR="00EF0F41" w:rsidRPr="00FE16A2">
        <w:rPr>
          <w:noProof/>
        </w:rPr>
        <w:t>death</w:t>
      </w:r>
      <w:r w:rsidR="007915A9" w:rsidRPr="00FE16A2">
        <w:rPr>
          <w:noProof/>
        </w:rPr>
        <w:t xml:space="preserve"> study and </w:t>
      </w:r>
      <w:r w:rsidR="00EF0F41" w:rsidRPr="00FE16A2">
        <w:rPr>
          <w:noProof/>
        </w:rPr>
        <w:t xml:space="preserve">cancer deaths were </w:t>
      </w:r>
      <w:r w:rsidR="007915A9" w:rsidRPr="00FE16A2">
        <w:rPr>
          <w:noProof/>
        </w:rPr>
        <w:t xml:space="preserve">reported at </w:t>
      </w:r>
      <w:r w:rsidR="00EF0F41" w:rsidRPr="00FE16A2">
        <w:rPr>
          <w:noProof/>
        </w:rPr>
        <w:t>46% of the total deaths</w:t>
      </w:r>
      <w:r w:rsidR="007915A9" w:rsidRPr="00FE16A2">
        <w:rPr>
          <w:noProof/>
        </w:rPr>
        <w:t>.</w:t>
      </w:r>
      <w:r w:rsidR="00A41C0D" w:rsidRPr="00FE16A2">
        <w:rPr>
          <w:noProof/>
        </w:rPr>
        <w:t xml:space="preserve"> This information can be found in the following link:</w:t>
      </w:r>
      <w:r w:rsidR="00EF0F41">
        <w:rPr>
          <w:noProof/>
        </w:rPr>
        <w:t xml:space="preserve">  (Life Span Study of the Irish Water Spaniel in America, Health and Genetics committee, 2008</w:t>
      </w:r>
      <w:r w:rsidR="00A1467E">
        <w:rPr>
          <w:noProof/>
        </w:rPr>
        <w:t xml:space="preserve">:  </w:t>
      </w:r>
      <w:hyperlink r:id="rId7" w:history="1">
        <w:r w:rsidR="009E5286" w:rsidRPr="004931E4">
          <w:rPr>
            <w:rStyle w:val="Hyperlink"/>
            <w:noProof/>
          </w:rPr>
          <w:t>http://webzoom.freewebs.com/iwsca/PDFs/Lifespan_Study.pdf</w:t>
        </w:r>
      </w:hyperlink>
      <w:r w:rsidR="00EF0F41">
        <w:rPr>
          <w:noProof/>
        </w:rPr>
        <w:t>). The overall death rate from cancers for all dogs is generally reported as being between 30% and 35%</w:t>
      </w:r>
      <w:r w:rsidR="00EF0F41" w:rsidRPr="00AB2678">
        <w:rPr>
          <w:noProof/>
          <w:color w:val="7030A0"/>
        </w:rPr>
        <w:t>.</w:t>
      </w:r>
      <w:r w:rsidR="00EF0F41">
        <w:rPr>
          <w:noProof/>
        </w:rPr>
        <w:t xml:space="preserve">  Further analysis of  cancer rates will be given in a future “First Look” article.</w:t>
      </w:r>
    </w:p>
    <w:p w14:paraId="71A9AD47" w14:textId="77777777" w:rsidR="00112CA2" w:rsidRDefault="00112CA2" w:rsidP="00EF0F41">
      <w:pPr>
        <w:rPr>
          <w:noProof/>
        </w:rPr>
      </w:pPr>
      <w:r>
        <w:rPr>
          <w:noProof/>
        </w:rPr>
        <w:drawing>
          <wp:inline distT="0" distB="0" distL="0" distR="0" wp14:anchorId="01E59C4B" wp14:editId="60A99527">
            <wp:extent cx="5486400" cy="32004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5697C79" w14:textId="77777777" w:rsidR="00D71924" w:rsidRDefault="00D71924">
      <w:pPr>
        <w:rPr>
          <w:b/>
          <w:noProof/>
        </w:rPr>
      </w:pPr>
      <w:r>
        <w:rPr>
          <w:b/>
          <w:noProof/>
        </w:rPr>
        <w:lastRenderedPageBreak/>
        <w:drawing>
          <wp:inline distT="0" distB="0" distL="0" distR="0" wp14:anchorId="64CBE3F1" wp14:editId="7CF47F2C">
            <wp:extent cx="5486400" cy="3200400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AD8F538" w14:textId="77777777" w:rsidR="008D6181" w:rsidRDefault="008D6181" w:rsidP="00A754CC">
      <w:pPr>
        <w:rPr>
          <w:noProof/>
        </w:rPr>
      </w:pPr>
    </w:p>
    <w:p w14:paraId="40440EDB" w14:textId="77777777" w:rsidR="00A754CC" w:rsidRDefault="00A754CC" w:rsidP="00A754CC">
      <w:r w:rsidRPr="00FE16A2">
        <w:rPr>
          <w:noProof/>
        </w:rPr>
        <w:t xml:space="preserve">Figure 2 shows </w:t>
      </w:r>
      <w:r w:rsidR="00A41C0D" w:rsidRPr="00FE16A2">
        <w:rPr>
          <w:noProof/>
        </w:rPr>
        <w:t xml:space="preserve">the cause of death reported for </w:t>
      </w:r>
      <w:r w:rsidRPr="00FE16A2">
        <w:rPr>
          <w:noProof/>
        </w:rPr>
        <w:t xml:space="preserve">UK IWS.  The reported deaths were again, mainly from cancers, at approximately 43%.  </w:t>
      </w:r>
      <w:r w:rsidR="007915A9" w:rsidRPr="00FE16A2">
        <w:rPr>
          <w:noProof/>
        </w:rPr>
        <w:t xml:space="preserve">This number is very different from the </w:t>
      </w:r>
      <w:r w:rsidRPr="00FE16A2">
        <w:rPr>
          <w:noProof/>
        </w:rPr>
        <w:t xml:space="preserve">British Veterinary Association study </w:t>
      </w:r>
      <w:r w:rsidR="007915A9" w:rsidRPr="00FE16A2">
        <w:rPr>
          <w:noProof/>
        </w:rPr>
        <w:t xml:space="preserve">which </w:t>
      </w:r>
      <w:r w:rsidRPr="00FE16A2">
        <w:rPr>
          <w:noProof/>
        </w:rPr>
        <w:t>found</w:t>
      </w:r>
      <w:r w:rsidR="007915A9" w:rsidRPr="00FE16A2">
        <w:rPr>
          <w:noProof/>
        </w:rPr>
        <w:t xml:space="preserve"> </w:t>
      </w:r>
      <w:r w:rsidRPr="00FE16A2">
        <w:rPr>
          <w:noProof/>
        </w:rPr>
        <w:t xml:space="preserve">the rate of cancer deaths </w:t>
      </w:r>
      <w:r w:rsidR="00AA2130" w:rsidRPr="00FE16A2">
        <w:rPr>
          <w:noProof/>
        </w:rPr>
        <w:t>in the</w:t>
      </w:r>
      <w:r w:rsidR="007915A9" w:rsidRPr="00FE16A2">
        <w:rPr>
          <w:noProof/>
        </w:rPr>
        <w:t xml:space="preserve"> IWS population in the</w:t>
      </w:r>
      <w:r w:rsidR="00AA2130" w:rsidRPr="00FE16A2">
        <w:rPr>
          <w:noProof/>
        </w:rPr>
        <w:t xml:space="preserve"> UK </w:t>
      </w:r>
      <w:r w:rsidRPr="00FE16A2">
        <w:rPr>
          <w:noProof/>
        </w:rPr>
        <w:t xml:space="preserve">to be 55%. </w:t>
      </w:r>
      <w:hyperlink r:id="rId10" w:history="1">
        <w:r w:rsidRPr="004474EC">
          <w:rPr>
            <w:rStyle w:val="Hyperlink"/>
          </w:rPr>
          <w:t>http://www.thekennelclub.org.uk/download/1576/hsirishwaterspaniel.pdf</w:t>
        </w:r>
      </w:hyperlink>
      <w:r>
        <w:t xml:space="preserve">.  </w:t>
      </w:r>
    </w:p>
    <w:p w14:paraId="0DFAB32A" w14:textId="77777777" w:rsidR="00A754CC" w:rsidRPr="00FE16A2" w:rsidRDefault="00A754CC" w:rsidP="00A754CC">
      <w:pPr>
        <w:rPr>
          <w:noProof/>
        </w:rPr>
      </w:pPr>
      <w:r>
        <w:rPr>
          <w:noProof/>
        </w:rPr>
        <w:t xml:space="preserve"> The “Neurology” category for UK dogs were deaths listed as being from epilepsy</w:t>
      </w:r>
      <w:r w:rsidR="007915A9">
        <w:rPr>
          <w:noProof/>
        </w:rPr>
        <w:t xml:space="preserve"> only</w:t>
      </w:r>
      <w:r w:rsidRPr="00FE16A2">
        <w:rPr>
          <w:noProof/>
        </w:rPr>
        <w:t xml:space="preserve">.   </w:t>
      </w:r>
      <w:r w:rsidR="007915A9" w:rsidRPr="00FE16A2">
        <w:rPr>
          <w:noProof/>
        </w:rPr>
        <w:t xml:space="preserve">A significant </w:t>
      </w:r>
      <w:r w:rsidR="00A41C0D" w:rsidRPr="00FE16A2">
        <w:rPr>
          <w:noProof/>
        </w:rPr>
        <w:t>number of d</w:t>
      </w:r>
      <w:r w:rsidRPr="00FE16A2">
        <w:rPr>
          <w:noProof/>
        </w:rPr>
        <w:t>eaths were reported in the UK from autoimmune causes</w:t>
      </w:r>
      <w:r w:rsidR="00A41C0D" w:rsidRPr="00FE16A2">
        <w:rPr>
          <w:noProof/>
        </w:rPr>
        <w:t xml:space="preserve"> and </w:t>
      </w:r>
      <w:r w:rsidR="00230739" w:rsidRPr="00FE16A2">
        <w:rPr>
          <w:noProof/>
        </w:rPr>
        <w:t xml:space="preserve"> bloat</w:t>
      </w:r>
      <w:r w:rsidRPr="00FE16A2">
        <w:rPr>
          <w:noProof/>
        </w:rPr>
        <w:t>, compared to N. America</w:t>
      </w:r>
      <w:r w:rsidR="00A41C0D" w:rsidRPr="00FE16A2">
        <w:rPr>
          <w:noProof/>
        </w:rPr>
        <w:t>n IWS</w:t>
      </w:r>
      <w:r w:rsidRPr="00FE16A2">
        <w:rPr>
          <w:noProof/>
        </w:rPr>
        <w:t xml:space="preserve">.  No deaths from infectious diseases, megesophagus, or euthanasia due to the pain of arthritis were recorded from UK IWS, </w:t>
      </w:r>
      <w:r w:rsidR="00A41C0D" w:rsidRPr="00FE16A2">
        <w:rPr>
          <w:noProof/>
        </w:rPr>
        <w:t>in contrast to the</w:t>
      </w:r>
      <w:r w:rsidRPr="00FE16A2">
        <w:rPr>
          <w:noProof/>
        </w:rPr>
        <w:t xml:space="preserve"> </w:t>
      </w:r>
      <w:r w:rsidR="00A41C0D" w:rsidRPr="00FE16A2">
        <w:rPr>
          <w:noProof/>
        </w:rPr>
        <w:t>N. American IWS.</w:t>
      </w:r>
    </w:p>
    <w:p w14:paraId="65B8104C" w14:textId="77777777" w:rsidR="00230739" w:rsidRDefault="00230739" w:rsidP="00A754CC">
      <w:pPr>
        <w:rPr>
          <w:noProof/>
        </w:rPr>
      </w:pPr>
    </w:p>
    <w:p w14:paraId="61561CBB" w14:textId="77777777" w:rsidR="00F43912" w:rsidRDefault="00F43912" w:rsidP="00F43912">
      <w:pPr>
        <w:rPr>
          <w:b/>
          <w:noProof/>
          <w:sz w:val="28"/>
          <w:szCs w:val="28"/>
        </w:rPr>
      </w:pPr>
      <w:r w:rsidRPr="000203AC">
        <w:rPr>
          <w:b/>
          <w:noProof/>
          <w:sz w:val="28"/>
          <w:szCs w:val="28"/>
        </w:rPr>
        <w:t>Age of Death</w:t>
      </w:r>
      <w:r>
        <w:rPr>
          <w:b/>
          <w:noProof/>
          <w:sz w:val="28"/>
          <w:szCs w:val="28"/>
        </w:rPr>
        <w:t xml:space="preserve"> in IWS</w:t>
      </w:r>
    </w:p>
    <w:p w14:paraId="3F992C11" w14:textId="77777777" w:rsidR="00C757D5" w:rsidRDefault="001A517B" w:rsidP="00C757D5">
      <w:r>
        <w:rPr>
          <w:noProof/>
        </w:rPr>
        <w:t xml:space="preserve">Figure 3 </w:t>
      </w:r>
      <w:r w:rsidR="00694BF3" w:rsidRPr="00FE16A2">
        <w:rPr>
          <w:noProof/>
        </w:rPr>
        <w:t>illustrates  the age</w:t>
      </w:r>
      <w:r w:rsidR="00C757D5" w:rsidRPr="00FE16A2">
        <w:rPr>
          <w:noProof/>
        </w:rPr>
        <w:t xml:space="preserve"> of death for N. Am. IWS</w:t>
      </w:r>
      <w:r w:rsidR="009B4226" w:rsidRPr="00FE16A2">
        <w:rPr>
          <w:noProof/>
        </w:rPr>
        <w:t xml:space="preserve">.   </w:t>
      </w:r>
      <w:r w:rsidR="00190DFF" w:rsidRPr="00FE16A2">
        <w:t xml:space="preserve">The mean age of death in North American </w:t>
      </w:r>
      <w:r w:rsidR="00694BF3" w:rsidRPr="00FE16A2">
        <w:t>IWS</w:t>
      </w:r>
      <w:r w:rsidR="00190DFF" w:rsidRPr="00FE16A2">
        <w:t xml:space="preserve">, from all causes was 9.6 years.  </w:t>
      </w:r>
      <w:r w:rsidR="009B4226" w:rsidRPr="00FE16A2">
        <w:rPr>
          <w:noProof/>
        </w:rPr>
        <w:t xml:space="preserve">Age of death from </w:t>
      </w:r>
      <w:r w:rsidR="00076667" w:rsidRPr="00FE16A2">
        <w:rPr>
          <w:noProof/>
        </w:rPr>
        <w:t>all</w:t>
      </w:r>
      <w:r w:rsidR="009B4226" w:rsidRPr="00FE16A2">
        <w:rPr>
          <w:noProof/>
        </w:rPr>
        <w:t xml:space="preserve"> causes, and age at death from causes </w:t>
      </w:r>
      <w:r w:rsidR="00076667" w:rsidRPr="00FE16A2">
        <w:rPr>
          <w:noProof/>
        </w:rPr>
        <w:t xml:space="preserve">excluding accidents/trauma </w:t>
      </w:r>
      <w:r w:rsidR="009B4226" w:rsidRPr="00FE16A2">
        <w:rPr>
          <w:noProof/>
        </w:rPr>
        <w:t xml:space="preserve">were </w:t>
      </w:r>
      <w:r w:rsidR="00AA2130" w:rsidRPr="00FE16A2">
        <w:rPr>
          <w:noProof/>
        </w:rPr>
        <w:t xml:space="preserve">both </w:t>
      </w:r>
      <w:r w:rsidR="009B4226" w:rsidRPr="00FE16A2">
        <w:rPr>
          <w:noProof/>
        </w:rPr>
        <w:t>analyzed.  There was no significan</w:t>
      </w:r>
      <w:r w:rsidR="00AA2130" w:rsidRPr="00FE16A2">
        <w:rPr>
          <w:noProof/>
        </w:rPr>
        <w:t>t</w:t>
      </w:r>
      <w:r w:rsidR="009B4226" w:rsidRPr="00FE16A2">
        <w:rPr>
          <w:noProof/>
        </w:rPr>
        <w:t xml:space="preserve"> difference</w:t>
      </w:r>
      <w:r w:rsidR="00694BF3" w:rsidRPr="00FE16A2">
        <w:rPr>
          <w:noProof/>
        </w:rPr>
        <w:t xml:space="preserve"> between the two</w:t>
      </w:r>
      <w:r w:rsidR="009B4226" w:rsidRPr="00FE16A2">
        <w:rPr>
          <w:noProof/>
        </w:rPr>
        <w:t xml:space="preserve">, so deaths from all causes </w:t>
      </w:r>
      <w:r w:rsidR="00AA2130" w:rsidRPr="00FE16A2">
        <w:rPr>
          <w:noProof/>
        </w:rPr>
        <w:t>are</w:t>
      </w:r>
      <w:r w:rsidR="00694BF3" w:rsidRPr="00FE16A2">
        <w:rPr>
          <w:noProof/>
        </w:rPr>
        <w:t xml:space="preserve"> presented in this report in Figure 3.</w:t>
      </w:r>
    </w:p>
    <w:p w14:paraId="723C64DC" w14:textId="77777777" w:rsidR="009865FA" w:rsidRDefault="009865FA" w:rsidP="00C757D5">
      <w:r w:rsidRPr="009865FA">
        <w:rPr>
          <w:noProof/>
        </w:rPr>
        <w:lastRenderedPageBreak/>
        <w:drawing>
          <wp:inline distT="0" distB="0" distL="0" distR="0" wp14:anchorId="4ABFA708" wp14:editId="3577B50C">
            <wp:extent cx="5486400" cy="3505200"/>
            <wp:effectExtent l="19050" t="0" r="19050" b="0"/>
            <wp:docPr id="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1F64037" w14:textId="77777777" w:rsidR="000C371C" w:rsidRDefault="007964E2" w:rsidP="000C371C">
      <w:r w:rsidRPr="007964E2">
        <w:rPr>
          <w:noProof/>
        </w:rPr>
        <w:drawing>
          <wp:inline distT="0" distB="0" distL="0" distR="0" wp14:anchorId="4C6970B7" wp14:editId="0415F0C7">
            <wp:extent cx="5486400" cy="3573780"/>
            <wp:effectExtent l="19050" t="0" r="19050" b="762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F0A2DDC" w14:textId="77777777" w:rsidR="00AB4B4B" w:rsidRDefault="00AB4B4B" w:rsidP="00EF0F41"/>
    <w:p w14:paraId="348E2D62" w14:textId="77777777" w:rsidR="00AB4B4B" w:rsidRDefault="00AB4B4B" w:rsidP="00EF0F41"/>
    <w:p w14:paraId="4D6FE7FC" w14:textId="77777777" w:rsidR="00AB4B4B" w:rsidRDefault="00AB4B4B" w:rsidP="00EF0F41"/>
    <w:p w14:paraId="59239127" w14:textId="77777777" w:rsidR="00694BF3" w:rsidRPr="00FE16A2" w:rsidRDefault="00694BF3">
      <w:r w:rsidRPr="00FE16A2">
        <w:lastRenderedPageBreak/>
        <w:t>Figure 4 shows age</w:t>
      </w:r>
      <w:r w:rsidR="00EF0F41" w:rsidRPr="00FE16A2">
        <w:t xml:space="preserve"> of death for UK IWS. The mean age of deat</w:t>
      </w:r>
      <w:r w:rsidRPr="00FE16A2">
        <w:t>h from all causes was 9.4 years</w:t>
      </w:r>
      <w:r w:rsidR="00FE16A2">
        <w:t xml:space="preserve">.  </w:t>
      </w:r>
    </w:p>
    <w:p w14:paraId="44846081" w14:textId="77777777" w:rsidR="00CD01E3" w:rsidRPr="00FE16A2" w:rsidRDefault="00EF0F41">
      <w:r w:rsidRPr="00FE16A2">
        <w:t xml:space="preserve"> </w:t>
      </w:r>
      <w:r w:rsidR="00930E06" w:rsidRPr="00FE16A2">
        <w:t>A normal age-at-death curve is typically a smooth, one peaked curve</w:t>
      </w:r>
      <w:r w:rsidR="00694BF3" w:rsidRPr="00FE16A2">
        <w:t xml:space="preserve"> with the average age of death being the apex of the curve</w:t>
      </w:r>
      <w:r w:rsidR="00930E06" w:rsidRPr="00FE16A2">
        <w:t>.</w:t>
      </w:r>
      <w:r w:rsidR="00694BF3" w:rsidRPr="00FE16A2">
        <w:t xml:space="preserve"> </w:t>
      </w:r>
      <w:r w:rsidR="00930E06" w:rsidRPr="00FE16A2">
        <w:t xml:space="preserve"> </w:t>
      </w:r>
      <w:r w:rsidR="00694BF3" w:rsidRPr="00FE16A2">
        <w:t>The data indicates that the age of death in both the N. American and UK IWS exhibit</w:t>
      </w:r>
      <w:r w:rsidR="00B85D68" w:rsidRPr="00FE16A2">
        <w:t xml:space="preserve"> a multi-peaked distribution.  </w:t>
      </w:r>
      <w:r w:rsidR="00694BF3" w:rsidRPr="00FE16A2">
        <w:t xml:space="preserve">In both cases, there is a spike of deaths at age 10 for N. Am IWS and a spike at ages 7 to 9 years in UK IWS.  Both graphs then show a decrease in deaths and then a spike </w:t>
      </w:r>
      <w:r w:rsidR="00C04FE5" w:rsidRPr="00FE16A2">
        <w:t>in 12 to 14 age group</w:t>
      </w:r>
      <w:r w:rsidR="00694BF3" w:rsidRPr="00FE16A2">
        <w:t xml:space="preserve">. </w:t>
      </w:r>
      <w:r w:rsidR="006049E0" w:rsidRPr="00FE16A2">
        <w:t xml:space="preserve"> </w:t>
      </w:r>
      <w:r w:rsidR="00AB4B4B" w:rsidRPr="00FE16A2">
        <w:t>Further analysis of th</w:t>
      </w:r>
      <w:r w:rsidR="006049E0" w:rsidRPr="00FE16A2">
        <w:t xml:space="preserve">is </w:t>
      </w:r>
      <w:r w:rsidR="00930E06" w:rsidRPr="00FE16A2">
        <w:t xml:space="preserve">data may show why this non-normal distribution has occurred. </w:t>
      </w:r>
      <w:r w:rsidR="006049E0" w:rsidRPr="00FE16A2">
        <w:t xml:space="preserve"> </w:t>
      </w:r>
      <w:r w:rsidR="00930E06" w:rsidRPr="00FE16A2">
        <w:t xml:space="preserve">In the previous </w:t>
      </w:r>
      <w:r w:rsidR="006049E0" w:rsidRPr="00FE16A2">
        <w:rPr>
          <w:noProof/>
        </w:rPr>
        <w:t xml:space="preserve">Life Span Study of the Irish Water Spaniel in America, Health and Genetics committee, 2008, </w:t>
      </w:r>
      <w:r w:rsidR="00930E06" w:rsidRPr="00FE16A2">
        <w:t>a similar distribution</w:t>
      </w:r>
      <w:r w:rsidR="00FE16A2">
        <w:t xml:space="preserve"> occur</w:t>
      </w:r>
      <w:r w:rsidR="007125FC">
        <w:t>r</w:t>
      </w:r>
      <w:r w:rsidR="00FE16A2">
        <w:t>ed</w:t>
      </w:r>
      <w:r w:rsidR="006049E0" w:rsidRPr="00FE16A2">
        <w:t xml:space="preserve"> and </w:t>
      </w:r>
      <w:r w:rsidR="00FE16A2">
        <w:t>appeared</w:t>
      </w:r>
      <w:r w:rsidR="006049E0" w:rsidRPr="00FE16A2">
        <w:t xml:space="preserve"> </w:t>
      </w:r>
      <w:r w:rsidR="005B6167" w:rsidRPr="00FE16A2">
        <w:t xml:space="preserve">to be due </w:t>
      </w:r>
      <w:r w:rsidR="00930E06" w:rsidRPr="00FE16A2">
        <w:t xml:space="preserve">to </w:t>
      </w:r>
      <w:r w:rsidR="006049E0" w:rsidRPr="00FE16A2">
        <w:t xml:space="preserve">a peak in cancer deaths around age 10. </w:t>
      </w:r>
    </w:p>
    <w:p w14:paraId="25771ED0" w14:textId="77777777" w:rsidR="00AA2130" w:rsidRDefault="00AA2130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566"/>
        <w:gridCol w:w="2592"/>
        <w:gridCol w:w="2975"/>
        <w:gridCol w:w="2785"/>
      </w:tblGrid>
      <w:tr w:rsidR="009B4226" w14:paraId="7B9AF287" w14:textId="77777777" w:rsidTr="009B4226">
        <w:tc>
          <w:tcPr>
            <w:tcW w:w="1566" w:type="dxa"/>
          </w:tcPr>
          <w:p w14:paraId="65E5E541" w14:textId="77777777" w:rsidR="009B4226" w:rsidRPr="00EF0F41" w:rsidRDefault="009B4226">
            <w:pPr>
              <w:rPr>
                <w:b/>
              </w:rPr>
            </w:pPr>
            <w:r w:rsidRPr="00EF0F41">
              <w:rPr>
                <w:b/>
              </w:rPr>
              <w:t xml:space="preserve">Table </w:t>
            </w:r>
            <w:r>
              <w:rPr>
                <w:b/>
              </w:rPr>
              <w:t>1</w:t>
            </w:r>
          </w:p>
        </w:tc>
        <w:tc>
          <w:tcPr>
            <w:tcW w:w="2592" w:type="dxa"/>
          </w:tcPr>
          <w:p w14:paraId="3F98EAB2" w14:textId="77777777" w:rsidR="009B4226" w:rsidRPr="00E75265" w:rsidRDefault="009B4226">
            <w:pPr>
              <w:rPr>
                <w:b/>
                <w:sz w:val="24"/>
                <w:szCs w:val="24"/>
              </w:rPr>
            </w:pPr>
            <w:r w:rsidRPr="00E75265">
              <w:rPr>
                <w:b/>
                <w:sz w:val="24"/>
                <w:szCs w:val="24"/>
              </w:rPr>
              <w:t>2010</w:t>
            </w:r>
            <w:r>
              <w:rPr>
                <w:b/>
                <w:sz w:val="24"/>
                <w:szCs w:val="24"/>
              </w:rPr>
              <w:t xml:space="preserve"> Survey</w:t>
            </w:r>
            <w:r w:rsidRPr="00E75265">
              <w:rPr>
                <w:b/>
                <w:sz w:val="24"/>
                <w:szCs w:val="24"/>
              </w:rPr>
              <w:t>-Mean Age at Death All Causes</w:t>
            </w:r>
            <w:r>
              <w:rPr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2975" w:type="dxa"/>
          </w:tcPr>
          <w:p w14:paraId="687080B5" w14:textId="77777777" w:rsidR="009B4226" w:rsidRPr="00E75265" w:rsidRDefault="009B4226" w:rsidP="004E6E10">
            <w:pPr>
              <w:rPr>
                <w:b/>
                <w:i/>
                <w:sz w:val="24"/>
                <w:szCs w:val="24"/>
              </w:rPr>
            </w:pPr>
            <w:r w:rsidRPr="00E75265">
              <w:rPr>
                <w:b/>
                <w:sz w:val="24"/>
                <w:szCs w:val="24"/>
              </w:rPr>
              <w:t xml:space="preserve">2008 IWSCA Study </w:t>
            </w:r>
            <w:r>
              <w:rPr>
                <w:b/>
                <w:sz w:val="24"/>
                <w:szCs w:val="24"/>
              </w:rPr>
              <w:t xml:space="preserve">Mean Age at Death </w:t>
            </w:r>
            <w:r w:rsidRPr="00E75265">
              <w:rPr>
                <w:b/>
                <w:sz w:val="24"/>
                <w:szCs w:val="24"/>
              </w:rPr>
              <w:t>All Causes</w:t>
            </w:r>
          </w:p>
        </w:tc>
        <w:tc>
          <w:tcPr>
            <w:tcW w:w="2785" w:type="dxa"/>
          </w:tcPr>
          <w:p w14:paraId="3F069BFC" w14:textId="77777777" w:rsidR="009B4226" w:rsidRPr="00E75265" w:rsidRDefault="009B4226">
            <w:pPr>
              <w:rPr>
                <w:b/>
                <w:sz w:val="24"/>
                <w:szCs w:val="24"/>
              </w:rPr>
            </w:pPr>
            <w:r w:rsidRPr="00E75265">
              <w:rPr>
                <w:b/>
                <w:sz w:val="24"/>
                <w:szCs w:val="24"/>
              </w:rPr>
              <w:t>BVA Study</w:t>
            </w:r>
            <w:r>
              <w:rPr>
                <w:b/>
                <w:sz w:val="24"/>
                <w:szCs w:val="24"/>
              </w:rPr>
              <w:t xml:space="preserve"> Mean Age at Death All Causes</w:t>
            </w:r>
          </w:p>
        </w:tc>
      </w:tr>
      <w:tr w:rsidR="009B4226" w14:paraId="7C8A1702" w14:textId="77777777" w:rsidTr="009B4226">
        <w:tc>
          <w:tcPr>
            <w:tcW w:w="1566" w:type="dxa"/>
          </w:tcPr>
          <w:p w14:paraId="02571909" w14:textId="77777777" w:rsidR="009B4226" w:rsidRDefault="009B4226">
            <w:pPr>
              <w:rPr>
                <w:b/>
                <w:sz w:val="24"/>
                <w:szCs w:val="24"/>
              </w:rPr>
            </w:pPr>
            <w:r w:rsidRPr="00E75265">
              <w:rPr>
                <w:b/>
                <w:sz w:val="24"/>
                <w:szCs w:val="24"/>
              </w:rPr>
              <w:t>N. Am IWS</w:t>
            </w:r>
          </w:p>
          <w:p w14:paraId="626828A3" w14:textId="77777777" w:rsidR="009B4226" w:rsidRPr="00E75265" w:rsidRDefault="009B4226">
            <w:pPr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</w:tcPr>
          <w:p w14:paraId="50EBE22A" w14:textId="77777777" w:rsidR="009B4226" w:rsidRDefault="009B4226">
            <w:r>
              <w:t>9.6 yrs</w:t>
            </w:r>
          </w:p>
        </w:tc>
        <w:tc>
          <w:tcPr>
            <w:tcW w:w="2975" w:type="dxa"/>
          </w:tcPr>
          <w:p w14:paraId="045033C9" w14:textId="77777777" w:rsidR="009B4226" w:rsidRDefault="009B4226">
            <w:r>
              <w:t>9.6 yrs</w:t>
            </w:r>
          </w:p>
        </w:tc>
        <w:tc>
          <w:tcPr>
            <w:tcW w:w="2785" w:type="dxa"/>
          </w:tcPr>
          <w:p w14:paraId="13DF6749" w14:textId="77777777" w:rsidR="009B4226" w:rsidRDefault="009B4226"/>
        </w:tc>
      </w:tr>
      <w:tr w:rsidR="009B4226" w14:paraId="7845D70A" w14:textId="77777777" w:rsidTr="009B4226">
        <w:tc>
          <w:tcPr>
            <w:tcW w:w="1566" w:type="dxa"/>
          </w:tcPr>
          <w:p w14:paraId="58A1B078" w14:textId="77777777" w:rsidR="009B4226" w:rsidRDefault="009B4226">
            <w:pPr>
              <w:rPr>
                <w:b/>
                <w:sz w:val="24"/>
                <w:szCs w:val="24"/>
              </w:rPr>
            </w:pPr>
            <w:r w:rsidRPr="00E75265">
              <w:rPr>
                <w:b/>
                <w:sz w:val="24"/>
                <w:szCs w:val="24"/>
              </w:rPr>
              <w:t>UK IWS</w:t>
            </w:r>
          </w:p>
          <w:p w14:paraId="4DFBD877" w14:textId="77777777" w:rsidR="009B4226" w:rsidRPr="00E75265" w:rsidRDefault="009B4226">
            <w:pPr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</w:tcPr>
          <w:p w14:paraId="51AC2426" w14:textId="77777777" w:rsidR="009B4226" w:rsidRDefault="009B4226">
            <w:r>
              <w:t>9.4 yrs</w:t>
            </w:r>
          </w:p>
        </w:tc>
        <w:tc>
          <w:tcPr>
            <w:tcW w:w="2975" w:type="dxa"/>
          </w:tcPr>
          <w:p w14:paraId="53F39441" w14:textId="77777777" w:rsidR="009B4226" w:rsidRDefault="009B4226"/>
        </w:tc>
        <w:tc>
          <w:tcPr>
            <w:tcW w:w="2785" w:type="dxa"/>
          </w:tcPr>
          <w:p w14:paraId="428B6245" w14:textId="77777777" w:rsidR="009B4226" w:rsidRDefault="009B4226">
            <w:r>
              <w:t>8.9 yrs</w:t>
            </w:r>
          </w:p>
        </w:tc>
      </w:tr>
    </w:tbl>
    <w:p w14:paraId="2A57A301" w14:textId="77777777" w:rsidR="009B2ADA" w:rsidRDefault="009B2ADA" w:rsidP="00C625B5">
      <w:pPr>
        <w:rPr>
          <w:b/>
          <w:sz w:val="24"/>
          <w:szCs w:val="24"/>
        </w:rPr>
      </w:pPr>
    </w:p>
    <w:p w14:paraId="7F152750" w14:textId="77777777" w:rsidR="00AB4B4B" w:rsidRPr="00637481" w:rsidRDefault="00637481" w:rsidP="00C625B5">
      <w:r>
        <w:t xml:space="preserve">Table 1 </w:t>
      </w:r>
      <w:r w:rsidRPr="00FE16A2">
        <w:t>summarizes</w:t>
      </w:r>
      <w:r>
        <w:t xml:space="preserve"> the Mean Age at Death data from various sources for both N. Am. and UK IWS.  Death from all causes includes accidental and trauma deaths</w:t>
      </w:r>
      <w:r w:rsidRPr="00FE16A2">
        <w:t>.  The British Veterinary Association (B</w:t>
      </w:r>
      <w:r w:rsidRPr="00FE16A2">
        <w:rPr>
          <w:caps/>
        </w:rPr>
        <w:t>VA)</w:t>
      </w:r>
      <w:r w:rsidRPr="00FE16A2">
        <w:t xml:space="preserve"> data is from the study cited above</w:t>
      </w:r>
      <w:r w:rsidR="00FE16A2" w:rsidRPr="00FE16A2">
        <w:t xml:space="preserve"> at Figure 2.</w:t>
      </w:r>
      <w:r>
        <w:t xml:space="preserve">   North American dogs appear to have a somewhat longer life span.</w:t>
      </w:r>
      <w:r w:rsidR="007125FC">
        <w:t xml:space="preserve"> As analysis of the data progresses we will do a statistical test to see if this difference is significant.</w:t>
      </w:r>
    </w:p>
    <w:p w14:paraId="699232FA" w14:textId="77777777" w:rsidR="00F306A8" w:rsidRDefault="00F306A8" w:rsidP="000715F1"/>
    <w:p w14:paraId="28BA9808" w14:textId="77777777" w:rsidR="00AA1946" w:rsidRDefault="00AA1946" w:rsidP="00AA1946"/>
    <w:p w14:paraId="19674460" w14:textId="77777777" w:rsidR="009B4226" w:rsidRDefault="009B4226" w:rsidP="00AA1946"/>
    <w:p w14:paraId="29B6C5B5" w14:textId="77777777" w:rsidR="00E13F6D" w:rsidRDefault="00E13F6D" w:rsidP="00AA1946"/>
    <w:p w14:paraId="63CB7862" w14:textId="77777777" w:rsidR="00E13F6D" w:rsidRDefault="00E13F6D" w:rsidP="00AA1946"/>
    <w:p w14:paraId="0FD63A52" w14:textId="6FDDC6D7" w:rsidR="00E47411" w:rsidRPr="00637481" w:rsidRDefault="002F5018" w:rsidP="00E47411">
      <w:r>
        <w:rPr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C2C308" wp14:editId="598574C6">
                <wp:simplePos x="0" y="0"/>
                <wp:positionH relativeFrom="column">
                  <wp:posOffset>579120</wp:posOffset>
                </wp:positionH>
                <wp:positionV relativeFrom="paragraph">
                  <wp:posOffset>256540</wp:posOffset>
                </wp:positionV>
                <wp:extent cx="1653540" cy="792480"/>
                <wp:effectExtent l="7620" t="8890" r="5715" b="8255"/>
                <wp:wrapNone/>
                <wp:docPr id="140813977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C661B" w14:textId="77777777" w:rsidR="00230739" w:rsidRPr="00BE1972" w:rsidRDefault="00230739" w:rsidP="00BE1972">
                            <w:pPr>
                              <w:ind w:right="84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E19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Figure 5.  Percent Deaths at 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2C30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5.6pt;margin-top:20.2pt;width:130.2pt;height:6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">
                <v:textbox>
                  <w:txbxContent>
                    <w:p w14:paraId="513C661B" w14:textId="77777777" w:rsidR="00230739" w:rsidRPr="00BE1972" w:rsidRDefault="00230739" w:rsidP="00BE1972">
                      <w:pPr>
                        <w:ind w:right="84"/>
                        <w:rPr>
                          <w:b/>
                          <w:sz w:val="28"/>
                          <w:szCs w:val="28"/>
                        </w:rPr>
                      </w:pPr>
                      <w:r w:rsidRPr="00BE1972">
                        <w:rPr>
                          <w:b/>
                          <w:sz w:val="28"/>
                          <w:szCs w:val="28"/>
                        </w:rPr>
                        <w:t xml:space="preserve">Figure 5.  Percent Deaths at Age </w:t>
                      </w:r>
                    </w:p>
                  </w:txbxContent>
                </v:textbox>
              </v:shape>
            </w:pict>
          </mc:Fallback>
        </mc:AlternateContent>
      </w:r>
      <w:r w:rsidR="00686A09">
        <w:rPr>
          <w:noProof/>
        </w:rPr>
        <w:drawing>
          <wp:inline distT="0" distB="0" distL="0" distR="0" wp14:anchorId="42C0E159" wp14:editId="7C91EC32">
            <wp:extent cx="5486400" cy="320040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E47411">
        <w:t>.</w:t>
      </w:r>
    </w:p>
    <w:p w14:paraId="288812CA" w14:textId="77777777" w:rsidR="00E47411" w:rsidRDefault="00E47411" w:rsidP="00E47411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Gender and Age at Death</w:t>
      </w:r>
    </w:p>
    <w:p w14:paraId="07458F4D" w14:textId="77777777" w:rsidR="00FE16A2" w:rsidRDefault="00E47411" w:rsidP="00E47411">
      <w:r>
        <w:t xml:space="preserve">In almost all mammals studied, females have a longer life span than males.  Many explanations have been offered such as: genetic resistance to disease which differs in each gender, an increase susceptibility to trauma in males, a more robust immune system in females, and many others.  </w:t>
      </w:r>
    </w:p>
    <w:p w14:paraId="12972E21" w14:textId="77777777" w:rsidR="00E47411" w:rsidRPr="00FE16A2" w:rsidRDefault="00E47411" w:rsidP="00E47411">
      <w:r>
        <w:t xml:space="preserve">This seems to be the case with IWS. We had data from 398 IWS from </w:t>
      </w:r>
      <w:r w:rsidR="00FE16A2" w:rsidRPr="00FE16A2">
        <w:t>all geographic areas</w:t>
      </w:r>
      <w:r w:rsidRPr="00F306A8">
        <w:rPr>
          <w:color w:val="7030A0"/>
        </w:rPr>
        <w:t xml:space="preserve"> </w:t>
      </w:r>
      <w:r>
        <w:t xml:space="preserve">whose age at death was given in the survey; 213 of these </w:t>
      </w:r>
      <w:r w:rsidR="00FE16A2">
        <w:t>were females and 185 were males</w:t>
      </w:r>
      <w:r>
        <w:t xml:space="preserve">.  The average age at death for females (all </w:t>
      </w:r>
      <w:r w:rsidRPr="00FE16A2">
        <w:t>geographic areas combined) was 9.45 years and for males it was 9.25 years.</w:t>
      </w:r>
    </w:p>
    <w:p w14:paraId="4CD16175" w14:textId="604F8300" w:rsidR="00E47411" w:rsidRPr="00376848" w:rsidRDefault="002F5018" w:rsidP="00E47411">
      <w:pPr>
        <w:rPr>
          <w:color w:val="FF0000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1F2457" wp14:editId="10351ABD">
                <wp:simplePos x="0" y="0"/>
                <wp:positionH relativeFrom="column">
                  <wp:posOffset>1329690</wp:posOffset>
                </wp:positionH>
                <wp:positionV relativeFrom="paragraph">
                  <wp:posOffset>5285105</wp:posOffset>
                </wp:positionV>
                <wp:extent cx="3284220" cy="556260"/>
                <wp:effectExtent l="5715" t="7620" r="5715" b="7620"/>
                <wp:wrapNone/>
                <wp:docPr id="5057433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EF6E8" w14:textId="77777777" w:rsidR="00E47411" w:rsidRPr="00A1467E" w:rsidRDefault="00E47411" w:rsidP="00E4741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1467E">
                              <w:rPr>
                                <w:b/>
                                <w:sz w:val="32"/>
                                <w:szCs w:val="32"/>
                              </w:rPr>
                              <w:t>Figure 5 Deaths at Age by Gender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F2457" id="Text Box 18" o:spid="_x0000_s1027" type="#_x0000_t202" style="position:absolute;margin-left:104.7pt;margin-top:416.15pt;width:258.6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">
                <v:textbox>
                  <w:txbxContent>
                    <w:p w14:paraId="6C2EF6E8" w14:textId="77777777" w:rsidR="00E47411" w:rsidRPr="00A1467E" w:rsidRDefault="00E47411" w:rsidP="00E4741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A1467E">
                        <w:rPr>
                          <w:b/>
                          <w:sz w:val="32"/>
                          <w:szCs w:val="32"/>
                        </w:rPr>
                        <w:t>Figure 5 Deaths at Age by Gender</w:t>
                      </w:r>
                    </w:p>
                  </w:txbxContent>
                </v:textbox>
              </v:shape>
            </w:pict>
          </mc:Fallback>
        </mc:AlternateContent>
      </w:r>
      <w:r w:rsidR="00E47411" w:rsidRPr="00FE16A2">
        <w:t xml:space="preserve">Figure 5 depicts the percent of deaths at each age for the two different genders.   Gender breakdown does not seem to influence the bi-peak age of death that is seen </w:t>
      </w:r>
      <w:r w:rsidR="00376848" w:rsidRPr="00FE16A2">
        <w:t>in all IWS (see Figure</w:t>
      </w:r>
      <w:r w:rsidR="00C04FE5" w:rsidRPr="00FE16A2">
        <w:t>s</w:t>
      </w:r>
      <w:r w:rsidR="00376848" w:rsidRPr="00FE16A2">
        <w:t xml:space="preserve"> 3 &amp; 4) because a similar curve is seen in Figure 5.  There is a spike of deaths around age 10, a drop and then </w:t>
      </w:r>
      <w:r w:rsidR="00C04FE5" w:rsidRPr="00FE16A2">
        <w:t>an</w:t>
      </w:r>
      <w:r w:rsidR="00376848" w:rsidRPr="00FE16A2">
        <w:t xml:space="preserve"> increase in the 12 to 13 age group for both sexes.   It </w:t>
      </w:r>
      <w:r w:rsidR="00E47411" w:rsidRPr="00FE16A2">
        <w:t>is</w:t>
      </w:r>
      <w:r w:rsidR="00E47411">
        <w:t xml:space="preserve"> difficult to see the larger death rate for males</w:t>
      </w:r>
      <w:r w:rsidR="00376848">
        <w:t xml:space="preserve"> when the data is presented this way</w:t>
      </w:r>
      <w:r w:rsidR="00E47411">
        <w:t xml:space="preserve"> but in the next figure it becomes clearer.</w:t>
      </w:r>
    </w:p>
    <w:p w14:paraId="1794AB8F" w14:textId="77777777" w:rsidR="00E47411" w:rsidRDefault="00E47411" w:rsidP="00AA1946"/>
    <w:p w14:paraId="3D864F90" w14:textId="77777777" w:rsidR="00E47411" w:rsidRDefault="00E47411" w:rsidP="00AA1946"/>
    <w:p w14:paraId="64A70D25" w14:textId="77777777" w:rsidR="00FF3114" w:rsidRDefault="00FF3114" w:rsidP="00AA52F1">
      <w:pPr>
        <w:keepNext/>
      </w:pPr>
    </w:p>
    <w:p w14:paraId="77B0295E" w14:textId="3E5AF857" w:rsidR="00AA1946" w:rsidRDefault="002F5018" w:rsidP="00AA1946">
      <w:pPr>
        <w:keepNext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C1DFEB" wp14:editId="5CBF9F9C">
                <wp:simplePos x="0" y="0"/>
                <wp:positionH relativeFrom="column">
                  <wp:align>center</wp:align>
                </wp:positionH>
                <wp:positionV relativeFrom="paragraph">
                  <wp:posOffset>190500</wp:posOffset>
                </wp:positionV>
                <wp:extent cx="3201670" cy="320675"/>
                <wp:effectExtent l="9525" t="8890" r="8255" b="13335"/>
                <wp:wrapNone/>
                <wp:docPr id="9886837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67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BB12A" w14:textId="77777777" w:rsidR="00230739" w:rsidRPr="00A1467E" w:rsidRDefault="0023073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1467E">
                              <w:rPr>
                                <w:b/>
                                <w:sz w:val="32"/>
                                <w:szCs w:val="32"/>
                              </w:rPr>
                              <w:t>Figure 6 Death Rates by Gender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1DFEB" id="Text Box 8" o:spid="_x0000_s1028" type="#_x0000_t202" style="position:absolute;margin-left:0;margin-top:15pt;width:252.1pt;height:25.25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">
                <v:textbox>
                  <w:txbxContent>
                    <w:p w14:paraId="34DBB12A" w14:textId="77777777" w:rsidR="00230739" w:rsidRPr="00A1467E" w:rsidRDefault="0023073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A1467E">
                        <w:rPr>
                          <w:b/>
                          <w:sz w:val="32"/>
                          <w:szCs w:val="32"/>
                        </w:rPr>
                        <w:t>Figure 6 Death Rates by Gender</w:t>
                      </w:r>
                    </w:p>
                  </w:txbxContent>
                </v:textbox>
              </v:shape>
            </w:pict>
          </mc:Fallback>
        </mc:AlternateContent>
      </w:r>
      <w:r w:rsidR="00FF3114">
        <w:rPr>
          <w:noProof/>
        </w:rPr>
        <w:drawing>
          <wp:inline distT="0" distB="0" distL="0" distR="0" wp14:anchorId="26B80AB2" wp14:editId="7D7F1DB6">
            <wp:extent cx="5935980" cy="2636520"/>
            <wp:effectExtent l="19050" t="0" r="2667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C2FEEB0" w14:textId="77777777" w:rsidR="009B2ADA" w:rsidRDefault="009B2ADA" w:rsidP="00C625B5"/>
    <w:p w14:paraId="15E4B360" w14:textId="77777777" w:rsidR="00376848" w:rsidRPr="00AB2678" w:rsidRDefault="00376848" w:rsidP="00376848">
      <w:pPr>
        <w:rPr>
          <w:color w:val="FF0000"/>
        </w:rPr>
      </w:pPr>
      <w:r>
        <w:t>Figure 6 depicts the age of death rate, or the cumulative percent of animals dead at each age, by gende</w:t>
      </w:r>
      <w:r w:rsidRPr="00FE16A2">
        <w:t>r.  The curve shows</w:t>
      </w:r>
      <w:r w:rsidR="00AB2678" w:rsidRPr="00FE16A2">
        <w:t xml:space="preserve"> overall that</w:t>
      </w:r>
      <w:r w:rsidR="00EC3FF7">
        <w:t xml:space="preserve"> m</w:t>
      </w:r>
      <w:r w:rsidRPr="00FE16A2">
        <w:t xml:space="preserve">ales have a higher death rate than females during both gender’s life spans.  There are two cases when </w:t>
      </w:r>
      <w:r w:rsidR="00AB2678" w:rsidRPr="00FE16A2">
        <w:t xml:space="preserve">males do not have a higher death rate than females:  </w:t>
      </w:r>
      <w:r w:rsidR="00EC3FF7">
        <w:t>at about age</w:t>
      </w:r>
      <w:r w:rsidRPr="00FE16A2">
        <w:t xml:space="preserve"> 6.5 and greater than age 15</w:t>
      </w:r>
      <w:r w:rsidR="00AB2678" w:rsidRPr="00FE16A2">
        <w:t>.  At these ages, the</w:t>
      </w:r>
      <w:r w:rsidRPr="00FE16A2">
        <w:t xml:space="preserve"> death </w:t>
      </w:r>
      <w:r w:rsidR="00AB2678" w:rsidRPr="00FE16A2">
        <w:t>rate is equal for both genders.  If we look at different points in the curve we can see how the male death rate is greater than females. For example, 40</w:t>
      </w:r>
      <w:r w:rsidRPr="00FE16A2">
        <w:t>% of males we</w:t>
      </w:r>
      <w:r w:rsidR="00AB2678" w:rsidRPr="00FE16A2">
        <w:t xml:space="preserve">re dead at about 8 years, compared to </w:t>
      </w:r>
      <w:r w:rsidRPr="00FE16A2">
        <w:t xml:space="preserve">females </w:t>
      </w:r>
      <w:r w:rsidR="00AB2678" w:rsidRPr="00FE16A2">
        <w:t xml:space="preserve">hadn’t </w:t>
      </w:r>
      <w:r w:rsidRPr="00FE16A2">
        <w:t>reached</w:t>
      </w:r>
      <w:r w:rsidR="00AB2678" w:rsidRPr="00FE16A2">
        <w:t xml:space="preserve"> 40% until</w:t>
      </w:r>
      <w:r w:rsidRPr="00FE16A2">
        <w:t xml:space="preserve"> about 8.5 years.  </w:t>
      </w:r>
    </w:p>
    <w:p w14:paraId="01C230C3" w14:textId="77777777" w:rsidR="00376848" w:rsidRDefault="00376848" w:rsidP="00C625B5"/>
    <w:p w14:paraId="11D555E0" w14:textId="77777777" w:rsidR="001B2422" w:rsidRPr="001B2422" w:rsidRDefault="001B2422" w:rsidP="001B2422">
      <w:pPr>
        <w:outlineLvl w:val="0"/>
        <w:rPr>
          <w:rFonts w:cstheme="minorHAnsi"/>
          <w:b/>
          <w:noProof/>
          <w:sz w:val="24"/>
          <w:szCs w:val="24"/>
        </w:rPr>
      </w:pPr>
      <w:r w:rsidRPr="001B2422">
        <w:rPr>
          <w:rFonts w:cstheme="minorHAnsi"/>
          <w:b/>
          <w:noProof/>
          <w:sz w:val="24"/>
          <w:szCs w:val="24"/>
        </w:rPr>
        <w:t>Next Steps:</w:t>
      </w:r>
    </w:p>
    <w:p w14:paraId="404C2C39" w14:textId="77777777" w:rsidR="001B2422" w:rsidRPr="001B2422" w:rsidRDefault="001B2422" w:rsidP="001B2422">
      <w:pPr>
        <w:rPr>
          <w:rFonts w:cstheme="minorHAnsi"/>
          <w:noProof/>
        </w:rPr>
      </w:pPr>
      <w:r w:rsidRPr="001B2422">
        <w:rPr>
          <w:rFonts w:cstheme="minorHAnsi"/>
          <w:noProof/>
        </w:rPr>
        <w:t xml:space="preserve">“First Look” articles will continue in Rattails, as analysis of the survey data continues.  The Health and Genetics committee welcomes any feed-back on this or subsequent articles. </w:t>
      </w:r>
    </w:p>
    <w:p w14:paraId="454959E1" w14:textId="77777777" w:rsidR="001B2422" w:rsidRDefault="001B2422" w:rsidP="001B2422">
      <w:pPr>
        <w:rPr>
          <w:rFonts w:ascii="Tahoma" w:hAnsi="Tahoma" w:cs="Tahoma"/>
          <w:noProof/>
          <w:sz w:val="24"/>
          <w:szCs w:val="24"/>
        </w:rPr>
      </w:pPr>
    </w:p>
    <w:p w14:paraId="2A09D80B" w14:textId="77777777" w:rsidR="001B2422" w:rsidRPr="00877E03" w:rsidRDefault="001B2422" w:rsidP="001B2422">
      <w:pPr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>By Sharon Moreland for the Health and Genetics Committee, Laurel Baglia, Chair</w:t>
      </w:r>
    </w:p>
    <w:p w14:paraId="56B1E687" w14:textId="77777777" w:rsidR="001B2422" w:rsidRDefault="001B2422" w:rsidP="00C625B5"/>
    <w:sectPr w:rsidR="001B2422" w:rsidSect="000715F1">
      <w:pgSz w:w="12240" w:h="15840"/>
      <w:pgMar w:top="153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E391F" w14:textId="77777777" w:rsidR="006D06B0" w:rsidRDefault="006D06B0" w:rsidP="001A517B">
      <w:pPr>
        <w:spacing w:after="0" w:line="240" w:lineRule="auto"/>
      </w:pPr>
      <w:r>
        <w:separator/>
      </w:r>
    </w:p>
  </w:endnote>
  <w:endnote w:type="continuationSeparator" w:id="0">
    <w:p w14:paraId="283301B7" w14:textId="77777777" w:rsidR="006D06B0" w:rsidRDefault="006D06B0" w:rsidP="001A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6070D" w14:textId="77777777" w:rsidR="006D06B0" w:rsidRDefault="006D06B0" w:rsidP="001A517B">
      <w:pPr>
        <w:spacing w:after="0" w:line="240" w:lineRule="auto"/>
      </w:pPr>
      <w:r>
        <w:separator/>
      </w:r>
    </w:p>
  </w:footnote>
  <w:footnote w:type="continuationSeparator" w:id="0">
    <w:p w14:paraId="4923F5CF" w14:textId="77777777" w:rsidR="006D06B0" w:rsidRDefault="006D06B0" w:rsidP="001A5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86"/>
    <w:rsid w:val="000147D3"/>
    <w:rsid w:val="00016282"/>
    <w:rsid w:val="000203AC"/>
    <w:rsid w:val="00025A05"/>
    <w:rsid w:val="00057562"/>
    <w:rsid w:val="000618FE"/>
    <w:rsid w:val="000715F1"/>
    <w:rsid w:val="00076667"/>
    <w:rsid w:val="000A5C16"/>
    <w:rsid w:val="000A6D68"/>
    <w:rsid w:val="000A7A78"/>
    <w:rsid w:val="000B2F09"/>
    <w:rsid w:val="000C0BE2"/>
    <w:rsid w:val="000C371C"/>
    <w:rsid w:val="000D4409"/>
    <w:rsid w:val="000E3855"/>
    <w:rsid w:val="00104EBE"/>
    <w:rsid w:val="00112CA2"/>
    <w:rsid w:val="00112E15"/>
    <w:rsid w:val="001204A2"/>
    <w:rsid w:val="001213D6"/>
    <w:rsid w:val="001351F7"/>
    <w:rsid w:val="001707E3"/>
    <w:rsid w:val="0017475D"/>
    <w:rsid w:val="00190DFF"/>
    <w:rsid w:val="001A24FE"/>
    <w:rsid w:val="001A517B"/>
    <w:rsid w:val="001B2422"/>
    <w:rsid w:val="001B4405"/>
    <w:rsid w:val="001B6F0C"/>
    <w:rsid w:val="001D56E2"/>
    <w:rsid w:val="002175D1"/>
    <w:rsid w:val="00230739"/>
    <w:rsid w:val="002649B3"/>
    <w:rsid w:val="00281F3E"/>
    <w:rsid w:val="002A3616"/>
    <w:rsid w:val="002B211F"/>
    <w:rsid w:val="002C16F4"/>
    <w:rsid w:val="002F5018"/>
    <w:rsid w:val="0030748F"/>
    <w:rsid w:val="0031521B"/>
    <w:rsid w:val="00315E21"/>
    <w:rsid w:val="0033260A"/>
    <w:rsid w:val="003666A8"/>
    <w:rsid w:val="00376848"/>
    <w:rsid w:val="0038520C"/>
    <w:rsid w:val="003A2497"/>
    <w:rsid w:val="003A4E57"/>
    <w:rsid w:val="003B2D2E"/>
    <w:rsid w:val="003B333E"/>
    <w:rsid w:val="003B3A33"/>
    <w:rsid w:val="003D0C0C"/>
    <w:rsid w:val="003E71F7"/>
    <w:rsid w:val="003F3ABB"/>
    <w:rsid w:val="00465A96"/>
    <w:rsid w:val="004C28F2"/>
    <w:rsid w:val="004D0CA7"/>
    <w:rsid w:val="004D757B"/>
    <w:rsid w:val="004E58C6"/>
    <w:rsid w:val="004E6E10"/>
    <w:rsid w:val="00550BCB"/>
    <w:rsid w:val="00557211"/>
    <w:rsid w:val="005607F6"/>
    <w:rsid w:val="005638DD"/>
    <w:rsid w:val="0059735C"/>
    <w:rsid w:val="005B6167"/>
    <w:rsid w:val="005C27A3"/>
    <w:rsid w:val="005F78A1"/>
    <w:rsid w:val="006049E0"/>
    <w:rsid w:val="006069E3"/>
    <w:rsid w:val="00626D19"/>
    <w:rsid w:val="00637481"/>
    <w:rsid w:val="006376BF"/>
    <w:rsid w:val="00652A79"/>
    <w:rsid w:val="0068172E"/>
    <w:rsid w:val="00686A09"/>
    <w:rsid w:val="00694BF3"/>
    <w:rsid w:val="006A74D1"/>
    <w:rsid w:val="006C3429"/>
    <w:rsid w:val="006D06B0"/>
    <w:rsid w:val="006D5063"/>
    <w:rsid w:val="006F2BDA"/>
    <w:rsid w:val="00701553"/>
    <w:rsid w:val="007125FC"/>
    <w:rsid w:val="00721B38"/>
    <w:rsid w:val="00723EDF"/>
    <w:rsid w:val="00733464"/>
    <w:rsid w:val="0075460E"/>
    <w:rsid w:val="007915A9"/>
    <w:rsid w:val="007964E2"/>
    <w:rsid w:val="007A6E75"/>
    <w:rsid w:val="007B6A49"/>
    <w:rsid w:val="007D0F3E"/>
    <w:rsid w:val="007D7AC3"/>
    <w:rsid w:val="00811AB1"/>
    <w:rsid w:val="00824E1B"/>
    <w:rsid w:val="0089288A"/>
    <w:rsid w:val="008C4872"/>
    <w:rsid w:val="008D2AC2"/>
    <w:rsid w:val="008D6181"/>
    <w:rsid w:val="008F6BFF"/>
    <w:rsid w:val="00930E06"/>
    <w:rsid w:val="00942935"/>
    <w:rsid w:val="00954F31"/>
    <w:rsid w:val="00961243"/>
    <w:rsid w:val="0097058C"/>
    <w:rsid w:val="009768C8"/>
    <w:rsid w:val="009865FA"/>
    <w:rsid w:val="009B2ADA"/>
    <w:rsid w:val="009B4226"/>
    <w:rsid w:val="009B507A"/>
    <w:rsid w:val="009D4420"/>
    <w:rsid w:val="009E5286"/>
    <w:rsid w:val="00A13530"/>
    <w:rsid w:val="00A1467E"/>
    <w:rsid w:val="00A367C1"/>
    <w:rsid w:val="00A41C0D"/>
    <w:rsid w:val="00A44FDF"/>
    <w:rsid w:val="00A52FA3"/>
    <w:rsid w:val="00A57B6E"/>
    <w:rsid w:val="00A645F8"/>
    <w:rsid w:val="00A754CC"/>
    <w:rsid w:val="00A84E08"/>
    <w:rsid w:val="00A85BDF"/>
    <w:rsid w:val="00A86B7B"/>
    <w:rsid w:val="00A86F51"/>
    <w:rsid w:val="00AA1946"/>
    <w:rsid w:val="00AA2130"/>
    <w:rsid w:val="00AA52F1"/>
    <w:rsid w:val="00AA608A"/>
    <w:rsid w:val="00AB2678"/>
    <w:rsid w:val="00AB4B4B"/>
    <w:rsid w:val="00AD655B"/>
    <w:rsid w:val="00B014ED"/>
    <w:rsid w:val="00B3563E"/>
    <w:rsid w:val="00B437A8"/>
    <w:rsid w:val="00B44DD3"/>
    <w:rsid w:val="00B55D78"/>
    <w:rsid w:val="00B56A06"/>
    <w:rsid w:val="00B63C9E"/>
    <w:rsid w:val="00B662CF"/>
    <w:rsid w:val="00B75C14"/>
    <w:rsid w:val="00B77F31"/>
    <w:rsid w:val="00B85D68"/>
    <w:rsid w:val="00BA132C"/>
    <w:rsid w:val="00BB17A5"/>
    <w:rsid w:val="00BC4708"/>
    <w:rsid w:val="00BD6181"/>
    <w:rsid w:val="00BD6486"/>
    <w:rsid w:val="00BE1972"/>
    <w:rsid w:val="00C04FE5"/>
    <w:rsid w:val="00C11D62"/>
    <w:rsid w:val="00C14623"/>
    <w:rsid w:val="00C42B81"/>
    <w:rsid w:val="00C5052C"/>
    <w:rsid w:val="00C607F9"/>
    <w:rsid w:val="00C625B5"/>
    <w:rsid w:val="00C64EB1"/>
    <w:rsid w:val="00C757D5"/>
    <w:rsid w:val="00CB5C86"/>
    <w:rsid w:val="00CD01E3"/>
    <w:rsid w:val="00CD1B35"/>
    <w:rsid w:val="00D0021F"/>
    <w:rsid w:val="00D06FB5"/>
    <w:rsid w:val="00D403C4"/>
    <w:rsid w:val="00D64EBD"/>
    <w:rsid w:val="00D71924"/>
    <w:rsid w:val="00D82248"/>
    <w:rsid w:val="00DA276F"/>
    <w:rsid w:val="00DA4043"/>
    <w:rsid w:val="00DB25B6"/>
    <w:rsid w:val="00DB6701"/>
    <w:rsid w:val="00DD2D7F"/>
    <w:rsid w:val="00DE706C"/>
    <w:rsid w:val="00E12CD1"/>
    <w:rsid w:val="00E12DCC"/>
    <w:rsid w:val="00E13F6D"/>
    <w:rsid w:val="00E14CF9"/>
    <w:rsid w:val="00E424A3"/>
    <w:rsid w:val="00E44002"/>
    <w:rsid w:val="00E47411"/>
    <w:rsid w:val="00E64BAE"/>
    <w:rsid w:val="00E7394B"/>
    <w:rsid w:val="00E75265"/>
    <w:rsid w:val="00EC3FF7"/>
    <w:rsid w:val="00ED10F6"/>
    <w:rsid w:val="00EE07CD"/>
    <w:rsid w:val="00EF0F41"/>
    <w:rsid w:val="00EF133D"/>
    <w:rsid w:val="00F25318"/>
    <w:rsid w:val="00F306A8"/>
    <w:rsid w:val="00F33223"/>
    <w:rsid w:val="00F43912"/>
    <w:rsid w:val="00F46410"/>
    <w:rsid w:val="00FA0733"/>
    <w:rsid w:val="00FB3D89"/>
    <w:rsid w:val="00FB683A"/>
    <w:rsid w:val="00FD52FF"/>
    <w:rsid w:val="00FE16A2"/>
    <w:rsid w:val="00FE70D9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4BC5CF99"/>
  <w15:docId w15:val="{63BE9882-88D7-47AA-9900-1FDEA1D7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2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A5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517B"/>
  </w:style>
  <w:style w:type="paragraph" w:styleId="Footer">
    <w:name w:val="footer"/>
    <w:basedOn w:val="Normal"/>
    <w:link w:val="FooterChar"/>
    <w:uiPriority w:val="99"/>
    <w:semiHidden/>
    <w:unhideWhenUsed/>
    <w:rsid w:val="001A5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517B"/>
  </w:style>
  <w:style w:type="character" w:styleId="Hyperlink">
    <w:name w:val="Hyperlink"/>
    <w:basedOn w:val="DefaultParagraphFont"/>
    <w:uiPriority w:val="99"/>
    <w:unhideWhenUsed/>
    <w:rsid w:val="00E75265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A52F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B42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hyperlink" Target="http://webzoom.freewebs.com/iwsca/PDFs/Lifespan_Study.pdf" TargetMode="Externa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hekennelclub.org.uk/download/1576/hsirishwaterspaniel.pdf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Figure 1 Causes</a:t>
            </a:r>
            <a:r>
              <a:rPr lang="en-US" sz="1600" baseline="0"/>
              <a:t> of Death for N. Am. IWS  </a:t>
            </a:r>
            <a:endParaRPr lang="en-US" sz="16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9952737678623544"/>
          <c:y val="0.17053587051618549"/>
          <c:w val="0.71326881014873533"/>
          <c:h val="0.726084551931008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Percent N. Am. IWS</c:v>
                </c:pt>
              </c:strCache>
            </c:strRef>
          </c:tx>
          <c:invertIfNegative val="0"/>
          <c:cat>
            <c:strRef>
              <c:f>Sheet1!$A$2:$A$14</c:f>
              <c:strCache>
                <c:ptCount val="12"/>
                <c:pt idx="0">
                  <c:v>Cancer</c:v>
                </c:pt>
                <c:pt idx="1">
                  <c:v>Old Age</c:v>
                </c:pt>
                <c:pt idx="2">
                  <c:v>Accident/Trauma</c:v>
                </c:pt>
                <c:pt idx="3">
                  <c:v>Neurology</c:v>
                </c:pt>
                <c:pt idx="4">
                  <c:v>Infect. Disease</c:v>
                </c:pt>
                <c:pt idx="5">
                  <c:v>Cardiac</c:v>
                </c:pt>
                <c:pt idx="6">
                  <c:v>Kidney</c:v>
                </c:pt>
                <c:pt idx="7">
                  <c:v>Temperament</c:v>
                </c:pt>
                <c:pt idx="8">
                  <c:v>AutoImmune</c:v>
                </c:pt>
                <c:pt idx="9">
                  <c:v>Arthritis</c:v>
                </c:pt>
                <c:pt idx="10">
                  <c:v>Other</c:v>
                </c:pt>
                <c:pt idx="11">
                  <c:v>Unknown</c:v>
                </c:pt>
              </c:strCache>
            </c:strRef>
          </c:cat>
          <c:val>
            <c:numRef>
              <c:f>Sheet1!$B$2:$B$14</c:f>
              <c:numCache>
                <c:formatCode>0%</c:formatCode>
                <c:ptCount val="13"/>
                <c:pt idx="0">
                  <c:v>0.47000000000000008</c:v>
                </c:pt>
                <c:pt idx="1">
                  <c:v>0.1</c:v>
                </c:pt>
                <c:pt idx="2">
                  <c:v>7.0000000000000034E-2</c:v>
                </c:pt>
                <c:pt idx="3">
                  <c:v>4.0000000000000063E-2</c:v>
                </c:pt>
                <c:pt idx="4">
                  <c:v>3.0000000000000016E-2</c:v>
                </c:pt>
                <c:pt idx="5">
                  <c:v>3.0000000000000016E-2</c:v>
                </c:pt>
                <c:pt idx="6">
                  <c:v>2.0000000000000032E-2</c:v>
                </c:pt>
                <c:pt idx="7">
                  <c:v>2.0000000000000032E-2</c:v>
                </c:pt>
                <c:pt idx="8">
                  <c:v>1.0000000000000021E-2</c:v>
                </c:pt>
                <c:pt idx="9">
                  <c:v>1.0000000000000021E-2</c:v>
                </c:pt>
                <c:pt idx="10">
                  <c:v>0.1</c:v>
                </c:pt>
                <c:pt idx="11">
                  <c:v>9.0000000000000066E-2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F8-47D4-AAD8-0B99F79A43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7633536"/>
        <c:axId val="67635072"/>
      </c:barChart>
      <c:catAx>
        <c:axId val="6763353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67635072"/>
        <c:crosses val="autoZero"/>
        <c:auto val="1"/>
        <c:lblAlgn val="ctr"/>
        <c:lblOffset val="100"/>
        <c:noMultiLvlLbl val="0"/>
      </c:catAx>
      <c:valAx>
        <c:axId val="6763507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67633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Figure 2. Causes of Death for UK IWS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0952737678623609"/>
          <c:y val="0.15863110861142626"/>
          <c:w val="0.71295640128317794"/>
          <c:h val="0.7045400574928172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Percent UK IWS</c:v>
                </c:pt>
              </c:strCache>
            </c:strRef>
          </c:tx>
          <c:invertIfNegative val="0"/>
          <c:cat>
            <c:strRef>
              <c:f>Sheet1!$A$2:$A$12</c:f>
              <c:strCache>
                <c:ptCount val="11"/>
                <c:pt idx="0">
                  <c:v>Cancer</c:v>
                </c:pt>
                <c:pt idx="1">
                  <c:v>Old Age</c:v>
                </c:pt>
                <c:pt idx="2">
                  <c:v>Bloat</c:v>
                </c:pt>
                <c:pt idx="3">
                  <c:v>Accident/Trauma</c:v>
                </c:pt>
                <c:pt idx="4">
                  <c:v>Autoimmune</c:v>
                </c:pt>
                <c:pt idx="5">
                  <c:v>Cardiac</c:v>
                </c:pt>
                <c:pt idx="6">
                  <c:v>Neurology</c:v>
                </c:pt>
                <c:pt idx="7">
                  <c:v>Kidney</c:v>
                </c:pt>
                <c:pt idx="8">
                  <c:v>Temperament</c:v>
                </c:pt>
                <c:pt idx="9">
                  <c:v>Other</c:v>
                </c:pt>
                <c:pt idx="10">
                  <c:v>Unknown</c:v>
                </c:pt>
              </c:strCache>
            </c:strRef>
          </c:cat>
          <c:val>
            <c:numRef>
              <c:f>Sheet1!$B$2:$B$12</c:f>
              <c:numCache>
                <c:formatCode>0%</c:formatCode>
                <c:ptCount val="11"/>
                <c:pt idx="0">
                  <c:v>0.43000000000000038</c:v>
                </c:pt>
                <c:pt idx="1">
                  <c:v>0.1</c:v>
                </c:pt>
                <c:pt idx="2">
                  <c:v>8.0000000000000043E-2</c:v>
                </c:pt>
                <c:pt idx="3">
                  <c:v>6.0000000000000032E-2</c:v>
                </c:pt>
                <c:pt idx="4">
                  <c:v>6.0000000000000032E-2</c:v>
                </c:pt>
                <c:pt idx="5">
                  <c:v>6.0000000000000032E-2</c:v>
                </c:pt>
                <c:pt idx="6" formatCode="0.00%">
                  <c:v>4.0000000000000022E-2</c:v>
                </c:pt>
                <c:pt idx="7" formatCode="0.00%">
                  <c:v>2.0000000000000011E-2</c:v>
                </c:pt>
                <c:pt idx="8" formatCode="0.00%">
                  <c:v>2.0000000000000011E-2</c:v>
                </c:pt>
                <c:pt idx="9">
                  <c:v>9.0000000000000024E-2</c:v>
                </c:pt>
                <c:pt idx="10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A4-46E9-BF62-3A133669F3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260288"/>
        <c:axId val="81756928"/>
      </c:barChart>
      <c:catAx>
        <c:axId val="7926028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81756928"/>
        <c:crosses val="autoZero"/>
        <c:auto val="1"/>
        <c:lblAlgn val="ctr"/>
        <c:lblOffset val="100"/>
        <c:noMultiLvlLbl val="0"/>
      </c:catAx>
      <c:valAx>
        <c:axId val="8175692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792602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/>
            </a:pPr>
            <a:r>
              <a:rPr lang="en-US" sz="1400"/>
              <a:t>Figure 3. N. Am. IWS</a:t>
            </a:r>
          </a:p>
          <a:p>
            <a:pPr>
              <a:defRPr sz="1800"/>
            </a:pPr>
            <a:r>
              <a:rPr lang="en-US" sz="1400"/>
              <a:t>Deaths at Ages</a:t>
            </a:r>
          </a:p>
          <a:p>
            <a:pPr>
              <a:defRPr sz="1800"/>
            </a:pPr>
            <a:endParaRPr lang="en-US" sz="1800"/>
          </a:p>
        </c:rich>
      </c:tx>
      <c:layout>
        <c:manualLayout>
          <c:xMode val="edge"/>
          <c:yMode val="edge"/>
          <c:x val="0.32912037037037523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7106663750364544E-2"/>
          <c:y val="0.24857644483628838"/>
          <c:w val="0.73198016914552344"/>
          <c:h val="0.551955836601511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All Causes</c:v>
                </c:pt>
              </c:strCache>
            </c:strRef>
          </c:tx>
          <c:invertIfNegative val="0"/>
          <c:cat>
            <c:strRef>
              <c:f>Sheet1!$A$2:$A$17</c:f>
              <c:strCache>
                <c:ptCount val="16"/>
                <c:pt idx="0">
                  <c:v>1 and Younger</c:v>
                </c:pt>
                <c:pt idx="1">
                  <c:v>2 Yr Old</c:v>
                </c:pt>
                <c:pt idx="2">
                  <c:v>3 Yr. Old</c:v>
                </c:pt>
                <c:pt idx="3">
                  <c:v>4 Yr. Old</c:v>
                </c:pt>
                <c:pt idx="4">
                  <c:v>5 Yr. Old</c:v>
                </c:pt>
                <c:pt idx="5">
                  <c:v>6 Yr. Old</c:v>
                </c:pt>
                <c:pt idx="6">
                  <c:v>7 Yr. Old</c:v>
                </c:pt>
                <c:pt idx="7">
                  <c:v>8 Yr. Old</c:v>
                </c:pt>
                <c:pt idx="8">
                  <c:v>9 Yr. Old</c:v>
                </c:pt>
                <c:pt idx="9">
                  <c:v>10 Yr. Old</c:v>
                </c:pt>
                <c:pt idx="10">
                  <c:v>11 Yr. Old</c:v>
                </c:pt>
                <c:pt idx="11">
                  <c:v>12 Yr. Old</c:v>
                </c:pt>
                <c:pt idx="12">
                  <c:v>13 Yr. old</c:v>
                </c:pt>
                <c:pt idx="13">
                  <c:v>14 Yr. Old</c:v>
                </c:pt>
                <c:pt idx="14">
                  <c:v>15 Yr. Old</c:v>
                </c:pt>
                <c:pt idx="15">
                  <c:v>&gt; 15 Yr. Old</c:v>
                </c:pt>
              </c:strCache>
            </c:strRef>
          </c:cat>
          <c:val>
            <c:numRef>
              <c:f>Sheet1!$B$2:$B$17</c:f>
              <c:numCache>
                <c:formatCode>General</c:formatCode>
                <c:ptCount val="16"/>
                <c:pt idx="0">
                  <c:v>9</c:v>
                </c:pt>
                <c:pt idx="1">
                  <c:v>5</c:v>
                </c:pt>
                <c:pt idx="2">
                  <c:v>7</c:v>
                </c:pt>
                <c:pt idx="3">
                  <c:v>5</c:v>
                </c:pt>
                <c:pt idx="4">
                  <c:v>8</c:v>
                </c:pt>
                <c:pt idx="5">
                  <c:v>14</c:v>
                </c:pt>
                <c:pt idx="6">
                  <c:v>7</c:v>
                </c:pt>
                <c:pt idx="7">
                  <c:v>16</c:v>
                </c:pt>
                <c:pt idx="8">
                  <c:v>20</c:v>
                </c:pt>
                <c:pt idx="9">
                  <c:v>33</c:v>
                </c:pt>
                <c:pt idx="10">
                  <c:v>20</c:v>
                </c:pt>
                <c:pt idx="11">
                  <c:v>29</c:v>
                </c:pt>
                <c:pt idx="12">
                  <c:v>28</c:v>
                </c:pt>
                <c:pt idx="13">
                  <c:v>13</c:v>
                </c:pt>
                <c:pt idx="14">
                  <c:v>7</c:v>
                </c:pt>
                <c:pt idx="1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0F-4304-BF0E-65CBC3BC5D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011200"/>
        <c:axId val="75012736"/>
      </c:barChart>
      <c:catAx>
        <c:axId val="75011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5012736"/>
        <c:crosses val="autoZero"/>
        <c:auto val="1"/>
        <c:lblAlgn val="ctr"/>
        <c:lblOffset val="100"/>
        <c:noMultiLvlLbl val="0"/>
      </c:catAx>
      <c:valAx>
        <c:axId val="75012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0112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Figure 4. UK IWS</a:t>
            </a:r>
          </a:p>
          <a:p>
            <a:pPr>
              <a:defRPr/>
            </a:pPr>
            <a:r>
              <a:rPr lang="en-US" sz="1400"/>
              <a:t>Deaths at Ages</a:t>
            </a:r>
          </a:p>
        </c:rich>
      </c:tx>
      <c:layout>
        <c:manualLayout>
          <c:xMode val="edge"/>
          <c:yMode val="edge"/>
          <c:x val="0.35810185185185417"/>
          <c:y val="2.380952380952381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862277631962713"/>
          <c:y val="0.19290163356446233"/>
          <c:w val="0.6965751676873726"/>
          <c:h val="0.550205944406202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All Causes</c:v>
                </c:pt>
              </c:strCache>
            </c:strRef>
          </c:tx>
          <c:invertIfNegative val="0"/>
          <c:cat>
            <c:strRef>
              <c:f>Sheet1!$A$2:$A$17</c:f>
              <c:strCache>
                <c:ptCount val="16"/>
                <c:pt idx="0">
                  <c:v>1 Yr. and Younger</c:v>
                </c:pt>
                <c:pt idx="1">
                  <c:v>2 Yr. Old</c:v>
                </c:pt>
                <c:pt idx="2">
                  <c:v>3 Yr Old</c:v>
                </c:pt>
                <c:pt idx="3">
                  <c:v>4 Yr. Old</c:v>
                </c:pt>
                <c:pt idx="4">
                  <c:v>5 Yr. Old</c:v>
                </c:pt>
                <c:pt idx="5">
                  <c:v>6 Yr. Old</c:v>
                </c:pt>
                <c:pt idx="6">
                  <c:v>7 Yr. Old</c:v>
                </c:pt>
                <c:pt idx="7">
                  <c:v>8 Yr. Old</c:v>
                </c:pt>
                <c:pt idx="8">
                  <c:v>9 Yr. Old</c:v>
                </c:pt>
                <c:pt idx="9">
                  <c:v>10Yr. Old</c:v>
                </c:pt>
                <c:pt idx="10">
                  <c:v>11 Yr. Old</c:v>
                </c:pt>
                <c:pt idx="11">
                  <c:v>12 Yr. Old</c:v>
                </c:pt>
                <c:pt idx="12">
                  <c:v>13 Yr. Old</c:v>
                </c:pt>
                <c:pt idx="13">
                  <c:v>14 Yr. Old</c:v>
                </c:pt>
                <c:pt idx="14">
                  <c:v>15 Yr. Old</c:v>
                </c:pt>
                <c:pt idx="15">
                  <c:v>&gt; 15 Yrs.</c:v>
                </c:pt>
              </c:strCache>
            </c:strRef>
          </c:cat>
          <c:val>
            <c:numRef>
              <c:f>Sheet1!$B$2:$B$17</c:f>
              <c:numCache>
                <c:formatCode>General</c:formatCode>
                <c:ptCount val="16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6</c:v>
                </c:pt>
                <c:pt idx="4">
                  <c:v>5</c:v>
                </c:pt>
                <c:pt idx="5">
                  <c:v>4</c:v>
                </c:pt>
                <c:pt idx="6">
                  <c:v>10</c:v>
                </c:pt>
                <c:pt idx="7">
                  <c:v>10</c:v>
                </c:pt>
                <c:pt idx="8">
                  <c:v>12</c:v>
                </c:pt>
                <c:pt idx="9">
                  <c:v>7</c:v>
                </c:pt>
                <c:pt idx="10">
                  <c:v>9</c:v>
                </c:pt>
                <c:pt idx="11">
                  <c:v>14</c:v>
                </c:pt>
                <c:pt idx="12">
                  <c:v>11</c:v>
                </c:pt>
                <c:pt idx="13">
                  <c:v>10</c:v>
                </c:pt>
                <c:pt idx="14">
                  <c:v>4</c:v>
                </c:pt>
                <c:pt idx="1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4F-4365-85E9-274BF0DA7A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10656"/>
        <c:axId val="65769472"/>
      </c:barChart>
      <c:catAx>
        <c:axId val="75110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5769472"/>
        <c:crosses val="autoZero"/>
        <c:auto val="1"/>
        <c:lblAlgn val="ctr"/>
        <c:lblOffset val="100"/>
        <c:noMultiLvlLbl val="0"/>
      </c:catAx>
      <c:valAx>
        <c:axId val="65769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1106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% Females</c:v>
                </c:pt>
              </c:strCache>
            </c:strRef>
          </c:tx>
          <c:invertIfNegative val="0"/>
          <c:cat>
            <c:strRef>
              <c:f>Sheet1!$A$2:$A$18</c:f>
              <c:strCache>
                <c:ptCount val="17"/>
                <c:pt idx="0">
                  <c:v>&lt; 1 yr</c:v>
                </c:pt>
                <c:pt idx="1">
                  <c:v>1 yr</c:v>
                </c:pt>
                <c:pt idx="2">
                  <c:v>2 yr</c:v>
                </c:pt>
                <c:pt idx="3">
                  <c:v>3 yr</c:v>
                </c:pt>
                <c:pt idx="4">
                  <c:v>4 yr</c:v>
                </c:pt>
                <c:pt idx="5">
                  <c:v>5 yr</c:v>
                </c:pt>
                <c:pt idx="6">
                  <c:v>6 yr</c:v>
                </c:pt>
                <c:pt idx="7">
                  <c:v>7 yr</c:v>
                </c:pt>
                <c:pt idx="8">
                  <c:v>8 yr</c:v>
                </c:pt>
                <c:pt idx="9">
                  <c:v>9 yr</c:v>
                </c:pt>
                <c:pt idx="10">
                  <c:v>10 yr</c:v>
                </c:pt>
                <c:pt idx="11">
                  <c:v>11 yr</c:v>
                </c:pt>
                <c:pt idx="12">
                  <c:v>12 yr</c:v>
                </c:pt>
                <c:pt idx="13">
                  <c:v>13 yr</c:v>
                </c:pt>
                <c:pt idx="14">
                  <c:v>14 yr</c:v>
                </c:pt>
                <c:pt idx="15">
                  <c:v>15 yr</c:v>
                </c:pt>
                <c:pt idx="16">
                  <c:v>&gt; 15 yr</c:v>
                </c:pt>
              </c:strCache>
            </c:strRef>
          </c:cat>
          <c:val>
            <c:numRef>
              <c:f>Sheet1!$B$2:$B$18</c:f>
              <c:numCache>
                <c:formatCode>0%</c:formatCode>
                <c:ptCount val="17"/>
                <c:pt idx="0">
                  <c:v>2.0000000000000011E-2</c:v>
                </c:pt>
                <c:pt idx="1">
                  <c:v>1.0000000000000005E-2</c:v>
                </c:pt>
                <c:pt idx="2">
                  <c:v>3.0000000000000002E-2</c:v>
                </c:pt>
                <c:pt idx="3">
                  <c:v>4.0000000000000022E-2</c:v>
                </c:pt>
                <c:pt idx="4">
                  <c:v>2.0000000000000011E-2</c:v>
                </c:pt>
                <c:pt idx="5">
                  <c:v>4.0000000000000022E-2</c:v>
                </c:pt>
                <c:pt idx="6">
                  <c:v>7.0000000000000021E-2</c:v>
                </c:pt>
                <c:pt idx="7">
                  <c:v>0.05</c:v>
                </c:pt>
                <c:pt idx="8">
                  <c:v>6.0000000000000032E-2</c:v>
                </c:pt>
                <c:pt idx="9">
                  <c:v>8.0000000000000043E-2</c:v>
                </c:pt>
                <c:pt idx="10">
                  <c:v>0.13</c:v>
                </c:pt>
                <c:pt idx="11">
                  <c:v>8.0000000000000043E-2</c:v>
                </c:pt>
                <c:pt idx="12">
                  <c:v>0.12000000000000002</c:v>
                </c:pt>
                <c:pt idx="13">
                  <c:v>0.1</c:v>
                </c:pt>
                <c:pt idx="14">
                  <c:v>8.0000000000000043E-2</c:v>
                </c:pt>
                <c:pt idx="15">
                  <c:v>3.0000000000000002E-2</c:v>
                </c:pt>
                <c:pt idx="16">
                  <c:v>3.0000000000000002E-2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02-4F68-97AC-D56972DAA08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Males</c:v>
                </c:pt>
              </c:strCache>
            </c:strRef>
          </c:tx>
          <c:invertIfNegative val="0"/>
          <c:cat>
            <c:strRef>
              <c:f>Sheet1!$A$2:$A$18</c:f>
              <c:strCache>
                <c:ptCount val="17"/>
                <c:pt idx="0">
                  <c:v>&lt; 1 yr</c:v>
                </c:pt>
                <c:pt idx="1">
                  <c:v>1 yr</c:v>
                </c:pt>
                <c:pt idx="2">
                  <c:v>2 yr</c:v>
                </c:pt>
                <c:pt idx="3">
                  <c:v>3 yr</c:v>
                </c:pt>
                <c:pt idx="4">
                  <c:v>4 yr</c:v>
                </c:pt>
                <c:pt idx="5">
                  <c:v>5 yr</c:v>
                </c:pt>
                <c:pt idx="6">
                  <c:v>6 yr</c:v>
                </c:pt>
                <c:pt idx="7">
                  <c:v>7 yr</c:v>
                </c:pt>
                <c:pt idx="8">
                  <c:v>8 yr</c:v>
                </c:pt>
                <c:pt idx="9">
                  <c:v>9 yr</c:v>
                </c:pt>
                <c:pt idx="10">
                  <c:v>10 yr</c:v>
                </c:pt>
                <c:pt idx="11">
                  <c:v>11 yr</c:v>
                </c:pt>
                <c:pt idx="12">
                  <c:v>12 yr</c:v>
                </c:pt>
                <c:pt idx="13">
                  <c:v>13 yr</c:v>
                </c:pt>
                <c:pt idx="14">
                  <c:v>14 yr</c:v>
                </c:pt>
                <c:pt idx="15">
                  <c:v>15 yr</c:v>
                </c:pt>
                <c:pt idx="16">
                  <c:v>&gt; 15 yr</c:v>
                </c:pt>
              </c:strCache>
            </c:strRef>
          </c:cat>
          <c:val>
            <c:numRef>
              <c:f>Sheet1!$C$2:$C$18</c:f>
              <c:numCache>
                <c:formatCode>0%</c:formatCode>
                <c:ptCount val="17"/>
                <c:pt idx="0">
                  <c:v>3.0000000000000002E-2</c:v>
                </c:pt>
                <c:pt idx="1">
                  <c:v>2.0000000000000011E-2</c:v>
                </c:pt>
                <c:pt idx="2">
                  <c:v>3.0000000000000002E-2</c:v>
                </c:pt>
                <c:pt idx="3">
                  <c:v>4.0000000000000022E-2</c:v>
                </c:pt>
                <c:pt idx="4">
                  <c:v>4.0000000000000022E-2</c:v>
                </c:pt>
                <c:pt idx="5">
                  <c:v>2.0000000000000011E-2</c:v>
                </c:pt>
                <c:pt idx="6">
                  <c:v>4.0000000000000022E-2</c:v>
                </c:pt>
                <c:pt idx="7">
                  <c:v>0.05</c:v>
                </c:pt>
                <c:pt idx="8">
                  <c:v>9.0000000000000024E-2</c:v>
                </c:pt>
                <c:pt idx="9">
                  <c:v>0.11</c:v>
                </c:pt>
                <c:pt idx="10">
                  <c:v>0.1</c:v>
                </c:pt>
                <c:pt idx="11">
                  <c:v>8.0000000000000043E-2</c:v>
                </c:pt>
                <c:pt idx="12">
                  <c:v>0.12000000000000002</c:v>
                </c:pt>
                <c:pt idx="13">
                  <c:v>0.11</c:v>
                </c:pt>
                <c:pt idx="14">
                  <c:v>0.05</c:v>
                </c:pt>
                <c:pt idx="15">
                  <c:v>3.0000000000000002E-2</c:v>
                </c:pt>
                <c:pt idx="16">
                  <c:v>3.0000000000000002E-2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02-4F68-97AC-D56972DAA0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243904"/>
        <c:axId val="75245440"/>
      </c:barChart>
      <c:catAx>
        <c:axId val="75243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5245440"/>
        <c:crosses val="autoZero"/>
        <c:auto val="1"/>
        <c:lblAlgn val="ctr"/>
        <c:lblOffset val="100"/>
        <c:noMultiLvlLbl val="0"/>
      </c:catAx>
      <c:valAx>
        <c:axId val="752454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52439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249569574021469E-2"/>
          <c:y val="5.1919955092318663E-2"/>
          <c:w val="0.87707078522699111"/>
          <c:h val="0.821564684551417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Females</c:v>
                </c:pt>
              </c:strCache>
            </c:strRef>
          </c:tx>
          <c:marker>
            <c:symbol val="none"/>
          </c:marker>
          <c:cat>
            <c:strRef>
              <c:f>Sheet1!$A$2:$A$18</c:f>
              <c:strCache>
                <c:ptCount val="17"/>
                <c:pt idx="0">
                  <c:v>&lt; 1 yr</c:v>
                </c:pt>
                <c:pt idx="1">
                  <c:v>1 yr</c:v>
                </c:pt>
                <c:pt idx="2">
                  <c:v>2 yr</c:v>
                </c:pt>
                <c:pt idx="3">
                  <c:v>3 yr</c:v>
                </c:pt>
                <c:pt idx="4">
                  <c:v>4 yr</c:v>
                </c:pt>
                <c:pt idx="5">
                  <c:v>5 yr</c:v>
                </c:pt>
                <c:pt idx="6">
                  <c:v>6 yr</c:v>
                </c:pt>
                <c:pt idx="7">
                  <c:v>7 yr</c:v>
                </c:pt>
                <c:pt idx="8">
                  <c:v>8 yr</c:v>
                </c:pt>
                <c:pt idx="9">
                  <c:v>9 yr</c:v>
                </c:pt>
                <c:pt idx="10">
                  <c:v>10 yr</c:v>
                </c:pt>
                <c:pt idx="11">
                  <c:v>11 yr</c:v>
                </c:pt>
                <c:pt idx="12">
                  <c:v>12 yr</c:v>
                </c:pt>
                <c:pt idx="13">
                  <c:v>13 yr</c:v>
                </c:pt>
                <c:pt idx="14">
                  <c:v>14 yr</c:v>
                </c:pt>
                <c:pt idx="15">
                  <c:v>15 yr</c:v>
                </c:pt>
                <c:pt idx="16">
                  <c:v>&gt;15</c:v>
                </c:pt>
              </c:strCache>
            </c:strRef>
          </c:cat>
          <c:val>
            <c:numRef>
              <c:f>Sheet1!$B$2:$B$18</c:f>
              <c:numCache>
                <c:formatCode>0%</c:formatCode>
                <c:ptCount val="17"/>
                <c:pt idx="0">
                  <c:v>2.0000000000000011E-2</c:v>
                </c:pt>
                <c:pt idx="1">
                  <c:v>3.0000000000000002E-2</c:v>
                </c:pt>
                <c:pt idx="2">
                  <c:v>6.0000000000000032E-2</c:v>
                </c:pt>
                <c:pt idx="3">
                  <c:v>0.1</c:v>
                </c:pt>
                <c:pt idx="4">
                  <c:v>0.12000000000000002</c:v>
                </c:pt>
                <c:pt idx="5">
                  <c:v>0.16</c:v>
                </c:pt>
                <c:pt idx="6">
                  <c:v>0.23</c:v>
                </c:pt>
                <c:pt idx="7">
                  <c:v>0.28000000000000008</c:v>
                </c:pt>
                <c:pt idx="8">
                  <c:v>0.34</c:v>
                </c:pt>
                <c:pt idx="9">
                  <c:v>0.42000000000000032</c:v>
                </c:pt>
                <c:pt idx="10">
                  <c:v>0.55000000000000004</c:v>
                </c:pt>
                <c:pt idx="11">
                  <c:v>0.63000000000000156</c:v>
                </c:pt>
                <c:pt idx="12">
                  <c:v>0.75000000000000155</c:v>
                </c:pt>
                <c:pt idx="13">
                  <c:v>0.85000000000000064</c:v>
                </c:pt>
                <c:pt idx="14">
                  <c:v>0.93</c:v>
                </c:pt>
                <c:pt idx="15">
                  <c:v>0.96000000000000063</c:v>
                </c:pt>
                <c:pt idx="16">
                  <c:v>0.99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EED-4165-AB6E-19EA0413765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Males</c:v>
                </c:pt>
              </c:strCache>
            </c:strRef>
          </c:tx>
          <c:marker>
            <c:symbol val="none"/>
          </c:marker>
          <c:cat>
            <c:strRef>
              <c:f>Sheet1!$A$2:$A$18</c:f>
              <c:strCache>
                <c:ptCount val="17"/>
                <c:pt idx="0">
                  <c:v>&lt; 1 yr</c:v>
                </c:pt>
                <c:pt idx="1">
                  <c:v>1 yr</c:v>
                </c:pt>
                <c:pt idx="2">
                  <c:v>2 yr</c:v>
                </c:pt>
                <c:pt idx="3">
                  <c:v>3 yr</c:v>
                </c:pt>
                <c:pt idx="4">
                  <c:v>4 yr</c:v>
                </c:pt>
                <c:pt idx="5">
                  <c:v>5 yr</c:v>
                </c:pt>
                <c:pt idx="6">
                  <c:v>6 yr</c:v>
                </c:pt>
                <c:pt idx="7">
                  <c:v>7 yr</c:v>
                </c:pt>
                <c:pt idx="8">
                  <c:v>8 yr</c:v>
                </c:pt>
                <c:pt idx="9">
                  <c:v>9 yr</c:v>
                </c:pt>
                <c:pt idx="10">
                  <c:v>10 yr</c:v>
                </c:pt>
                <c:pt idx="11">
                  <c:v>11 yr</c:v>
                </c:pt>
                <c:pt idx="12">
                  <c:v>12 yr</c:v>
                </c:pt>
                <c:pt idx="13">
                  <c:v>13 yr</c:v>
                </c:pt>
                <c:pt idx="14">
                  <c:v>14 yr</c:v>
                </c:pt>
                <c:pt idx="15">
                  <c:v>15 yr</c:v>
                </c:pt>
                <c:pt idx="16">
                  <c:v>&gt;15</c:v>
                </c:pt>
              </c:strCache>
            </c:strRef>
          </c:cat>
          <c:val>
            <c:numRef>
              <c:f>Sheet1!$C$2:$C$18</c:f>
              <c:numCache>
                <c:formatCode>0%</c:formatCode>
                <c:ptCount val="17"/>
                <c:pt idx="0">
                  <c:v>3.0000000000000002E-2</c:v>
                </c:pt>
                <c:pt idx="1">
                  <c:v>0.05</c:v>
                </c:pt>
                <c:pt idx="2">
                  <c:v>9.0000000000000024E-2</c:v>
                </c:pt>
                <c:pt idx="3">
                  <c:v>0.13</c:v>
                </c:pt>
                <c:pt idx="4">
                  <c:v>0.17</c:v>
                </c:pt>
                <c:pt idx="5">
                  <c:v>0.19</c:v>
                </c:pt>
                <c:pt idx="6">
                  <c:v>0.23</c:v>
                </c:pt>
                <c:pt idx="7">
                  <c:v>0.28000000000000008</c:v>
                </c:pt>
                <c:pt idx="8">
                  <c:v>0.37000000000000038</c:v>
                </c:pt>
                <c:pt idx="9">
                  <c:v>0.48000000000000032</c:v>
                </c:pt>
                <c:pt idx="10">
                  <c:v>0.58000000000000007</c:v>
                </c:pt>
                <c:pt idx="11">
                  <c:v>0.66000000000000192</c:v>
                </c:pt>
                <c:pt idx="12">
                  <c:v>0.78</c:v>
                </c:pt>
                <c:pt idx="13">
                  <c:v>0.89</c:v>
                </c:pt>
                <c:pt idx="14">
                  <c:v>0.94000000000000061</c:v>
                </c:pt>
                <c:pt idx="15">
                  <c:v>0.97000000000000064</c:v>
                </c:pt>
                <c:pt idx="16">
                  <c:v>0.99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EED-4165-AB6E-19EA041376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7082112"/>
        <c:axId val="67083648"/>
      </c:lineChart>
      <c:catAx>
        <c:axId val="67082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7083648"/>
        <c:crosses val="autoZero"/>
        <c:auto val="1"/>
        <c:lblAlgn val="ctr"/>
        <c:lblOffset val="100"/>
        <c:noMultiLvlLbl val="0"/>
      </c:catAx>
      <c:valAx>
        <c:axId val="670836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7082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905092592592556"/>
          <c:y val="0.56822272215973002"/>
          <c:w val="0.14706018518518643"/>
          <c:h val="0.2484208309577750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4070C-CC01-472F-8D73-A77B0DFB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moreland</dc:creator>
  <cp:lastModifiedBy>Olivia Zepp</cp:lastModifiedBy>
  <cp:revision>2</cp:revision>
  <dcterms:created xsi:type="dcterms:W3CDTF">2023-09-05T14:31:00Z</dcterms:created>
  <dcterms:modified xsi:type="dcterms:W3CDTF">2023-09-05T14:31:00Z</dcterms:modified>
</cp:coreProperties>
</file>